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4" w:rsidRPr="00166467" w:rsidRDefault="00920494" w:rsidP="00920494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bdr w:val="single" w:sz="4" w:space="0" w:color="auto"/>
        </w:rPr>
      </w:pPr>
      <w:proofErr w:type="spellStart"/>
      <w:r>
        <w:rPr>
          <w:rFonts w:ascii="Tahoma" w:hAnsi="Tahoma" w:cs="Tahoma"/>
          <w:sz w:val="40"/>
          <w:szCs w:val="40"/>
          <w:bdr w:val="single" w:sz="4" w:space="0" w:color="auto"/>
        </w:rPr>
        <w:t>Jubileringssubsidie</w:t>
      </w:r>
      <w:proofErr w:type="spellEnd"/>
      <w:r>
        <w:rPr>
          <w:rFonts w:ascii="Tahoma" w:hAnsi="Tahoma" w:cs="Tahoma"/>
          <w:sz w:val="40"/>
          <w:szCs w:val="40"/>
          <w:bdr w:val="single" w:sz="4" w:space="0" w:color="auto"/>
        </w:rPr>
        <w:t>.</w:t>
      </w:r>
      <w:r w:rsidRPr="00166467">
        <w:rPr>
          <w:rFonts w:ascii="Tahoma" w:hAnsi="Tahoma" w:cs="Tahoma"/>
          <w:sz w:val="40"/>
          <w:szCs w:val="40"/>
          <w:bdr w:val="single" w:sz="4" w:space="0" w:color="auto"/>
        </w:rPr>
        <w:t xml:space="preserve"> </w:t>
      </w:r>
    </w:p>
    <w:p w:rsidR="00920494" w:rsidRPr="00166467" w:rsidRDefault="00920494" w:rsidP="00920494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  <w:u w:val="single"/>
        </w:rPr>
      </w:pPr>
    </w:p>
    <w:p w:rsidR="00920494" w:rsidRPr="00166467" w:rsidRDefault="00920494" w:rsidP="009204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nl-NL"/>
        </w:rPr>
      </w:pPr>
      <w:r w:rsidRPr="00166467">
        <w:rPr>
          <w:rFonts w:ascii="Tahoma" w:hAnsi="Tahoma" w:cs="Tahoma"/>
          <w:sz w:val="20"/>
          <w:szCs w:val="20"/>
        </w:rPr>
        <w:t>Het college van burgemeester en schepenen stelt binnen de begrotingsk</w:t>
      </w:r>
      <w:r>
        <w:rPr>
          <w:rFonts w:ascii="Tahoma" w:hAnsi="Tahoma" w:cs="Tahoma"/>
          <w:sz w:val="20"/>
          <w:szCs w:val="20"/>
        </w:rPr>
        <w:t>redieten subsidies beschikbaar</w:t>
      </w:r>
      <w:r w:rsidRPr="001664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voor </w:t>
      </w:r>
      <w:proofErr w:type="spellStart"/>
      <w:r>
        <w:rPr>
          <w:rFonts w:ascii="Tahoma" w:hAnsi="Tahoma" w:cs="Tahoma"/>
          <w:sz w:val="20"/>
          <w:szCs w:val="20"/>
        </w:rPr>
        <w:t>jubilering</w:t>
      </w:r>
      <w:proofErr w:type="spellEnd"/>
      <w:r>
        <w:rPr>
          <w:rFonts w:ascii="Tahoma" w:hAnsi="Tahoma" w:cs="Tahoma"/>
          <w:sz w:val="20"/>
          <w:szCs w:val="20"/>
        </w:rPr>
        <w:t xml:space="preserve"> van erkende Kortrijkse sportverenigingen.</w:t>
      </w:r>
      <w:r w:rsidRPr="00166467">
        <w:rPr>
          <w:rFonts w:ascii="Tahoma" w:hAnsi="Tahoma" w:cs="Tahoma"/>
          <w:sz w:val="20"/>
          <w:szCs w:val="20"/>
          <w:lang w:eastAsia="nl-NL"/>
        </w:rPr>
        <w:br/>
        <w:t>Deze subsidie wordt toegekend na advies van de stedelijke sportraad, gesteund op het door de gemeenteraad goedgekeurd reglement.</w:t>
      </w:r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8D6F83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 w:rsidRPr="008A7C74"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Hoofdstuk </w:t>
      </w: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1</w:t>
      </w:r>
    </w:p>
    <w:p w:rsidR="008D6F83" w:rsidRPr="008A7C74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Bijkomende voorwaarden voor het bekomen van een subsidie 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jubilering</w:t>
      </w:r>
      <w:proofErr w:type="spellEnd"/>
    </w:p>
    <w:p w:rsidR="00920494" w:rsidRPr="00166467" w:rsidRDefault="00920494" w:rsidP="00920494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1.1</w:t>
      </w: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 </w:t>
      </w:r>
    </w:p>
    <w:p w:rsidR="00E04F44" w:rsidRDefault="00E04F44" w:rsidP="00920494">
      <w:pPr>
        <w:rPr>
          <w:rFonts w:ascii="Arial" w:hAnsi="Arial" w:cs="Arial"/>
          <w:sz w:val="20"/>
          <w:szCs w:val="20"/>
        </w:rPr>
      </w:pPr>
    </w:p>
    <w:p w:rsidR="00920494" w:rsidRPr="00373DD7" w:rsidRDefault="00920494" w:rsidP="00920494">
      <w:pPr>
        <w:rPr>
          <w:rFonts w:ascii="Arial" w:hAnsi="Arial" w:cs="Arial"/>
          <w:sz w:val="20"/>
          <w:szCs w:val="20"/>
        </w:rPr>
      </w:pPr>
      <w:r w:rsidRPr="00373DD7">
        <w:rPr>
          <w:rFonts w:ascii="Arial" w:hAnsi="Arial" w:cs="Arial"/>
          <w:sz w:val="20"/>
          <w:szCs w:val="20"/>
        </w:rPr>
        <w:t>De sportvereniging is minimum één jaar aangesloten bij de Stedelijke Sportraad en viert tijdens het lopende kalenderjaar een jubileumjaar (25-, 50-, 75-jarig bestaan).</w:t>
      </w:r>
    </w:p>
    <w:p w:rsidR="00920494" w:rsidRDefault="00920494" w:rsidP="00920494">
      <w:pPr>
        <w:rPr>
          <w:rFonts w:ascii="Tahoma" w:hAnsi="Tahoma" w:cs="Tahoma"/>
          <w:sz w:val="20"/>
          <w:szCs w:val="20"/>
        </w:rPr>
      </w:pPr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8D6F83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 w:rsidRPr="008A7C74"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Hoofdstuk 2</w:t>
      </w:r>
    </w:p>
    <w:p w:rsidR="008D6F83" w:rsidRPr="008A7C74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Modaliteiten voor het bekomen van een subsidie voor 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jubilering</w:t>
      </w:r>
      <w:proofErr w:type="spellEnd"/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2.1</w:t>
      </w: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 </w:t>
      </w:r>
    </w:p>
    <w:p w:rsidR="00E04F44" w:rsidRDefault="00E04F44" w:rsidP="00920494">
      <w:pPr>
        <w:rPr>
          <w:rFonts w:ascii="Arial" w:hAnsi="Arial" w:cs="Arial"/>
          <w:sz w:val="20"/>
          <w:szCs w:val="20"/>
        </w:rPr>
      </w:pPr>
    </w:p>
    <w:p w:rsidR="00920494" w:rsidRDefault="00920494" w:rsidP="00920494">
      <w:pPr>
        <w:rPr>
          <w:rFonts w:ascii="Arial" w:hAnsi="Arial" w:cs="Arial"/>
          <w:sz w:val="20"/>
          <w:szCs w:val="20"/>
        </w:rPr>
      </w:pPr>
      <w:r w:rsidRPr="00373DD7">
        <w:rPr>
          <w:rFonts w:ascii="Arial" w:hAnsi="Arial" w:cs="Arial"/>
          <w:sz w:val="20"/>
          <w:szCs w:val="20"/>
        </w:rPr>
        <w:t>De subsidies worden toegekend per kalenderjaar op basis van het aanvra</w:t>
      </w:r>
      <w:r>
        <w:rPr>
          <w:rFonts w:ascii="Arial" w:hAnsi="Arial" w:cs="Arial"/>
          <w:sz w:val="20"/>
          <w:szCs w:val="20"/>
        </w:rPr>
        <w:t>agdossier m.b.t. de jubilea van sportverenigingen.</w:t>
      </w:r>
    </w:p>
    <w:p w:rsidR="00920494" w:rsidRPr="00FE7D21" w:rsidRDefault="00920494" w:rsidP="00920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22559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tads</w:t>
      </w:r>
      <w:r w:rsidRPr="00373DD7">
        <w:rPr>
          <w:rFonts w:ascii="Arial" w:hAnsi="Arial" w:cs="Arial"/>
          <w:sz w:val="20"/>
          <w:szCs w:val="20"/>
        </w:rPr>
        <w:t xml:space="preserve">bestuur behoudt zich het recht om de gegeven </w:t>
      </w:r>
      <w:smartTag w:uri="urn:schemas-microsoft-com:office:smarttags" w:element="PersonName">
        <w:r w:rsidRPr="00373DD7">
          <w:rPr>
            <w:rFonts w:ascii="Arial" w:hAnsi="Arial" w:cs="Arial"/>
            <w:sz w:val="20"/>
            <w:szCs w:val="20"/>
          </w:rPr>
          <w:t>info</w:t>
        </w:r>
      </w:smartTag>
      <w:r w:rsidRPr="00373DD7">
        <w:rPr>
          <w:rFonts w:ascii="Arial" w:hAnsi="Arial" w:cs="Arial"/>
          <w:sz w:val="20"/>
          <w:szCs w:val="20"/>
        </w:rPr>
        <w:t>rmatie en bewijsstukken te laten verifiëren. Indien blijkt dat de aangifte niet in overeenstemming is met de werkelijkheid, komt de be</w:t>
      </w:r>
      <w:r>
        <w:rPr>
          <w:rFonts w:ascii="Arial" w:hAnsi="Arial" w:cs="Arial"/>
          <w:sz w:val="20"/>
          <w:szCs w:val="20"/>
        </w:rPr>
        <w:t>treffende vereniging</w:t>
      </w:r>
      <w:r w:rsidRPr="00373DD7">
        <w:rPr>
          <w:rFonts w:ascii="Arial" w:hAnsi="Arial" w:cs="Arial"/>
          <w:sz w:val="20"/>
          <w:szCs w:val="20"/>
        </w:rPr>
        <w:t xml:space="preserve"> niet meer in aanmerking voor een </w:t>
      </w:r>
      <w:r>
        <w:rPr>
          <w:rFonts w:ascii="Arial" w:hAnsi="Arial" w:cs="Arial"/>
          <w:sz w:val="20"/>
          <w:szCs w:val="20"/>
        </w:rPr>
        <w:t>subsidie jubilea sportverenigingen</w:t>
      </w:r>
      <w:r w:rsidR="00225596">
        <w:rPr>
          <w:rFonts w:ascii="Arial" w:hAnsi="Arial" w:cs="Arial"/>
          <w:sz w:val="20"/>
          <w:szCs w:val="20"/>
        </w:rPr>
        <w:t>.</w:t>
      </w:r>
    </w:p>
    <w:p w:rsidR="00920494" w:rsidRPr="00BF2CE5" w:rsidRDefault="00920494" w:rsidP="009204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2.2</w:t>
      </w: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 </w:t>
      </w:r>
    </w:p>
    <w:p w:rsidR="00E04F44" w:rsidRDefault="00E04F44" w:rsidP="00920494">
      <w:pPr>
        <w:rPr>
          <w:rFonts w:ascii="Arial" w:hAnsi="Arial" w:cs="Arial"/>
          <w:bCs/>
          <w:iCs/>
          <w:sz w:val="20"/>
          <w:szCs w:val="20"/>
          <w:lang w:val="nl-NL" w:eastAsia="nl-NL"/>
        </w:rPr>
      </w:pPr>
    </w:p>
    <w:p w:rsidR="00E04F44" w:rsidRDefault="00920494" w:rsidP="00920494">
      <w:pPr>
        <w:rPr>
          <w:rFonts w:ascii="Arial" w:hAnsi="Arial" w:cs="Arial"/>
          <w:bCs/>
          <w:iCs/>
          <w:sz w:val="20"/>
          <w:szCs w:val="20"/>
          <w:lang w:val="nl-NL" w:eastAsia="nl-NL"/>
        </w:rPr>
      </w:pP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>De aanvraag tot subsidiëring wordt door de sportverenigingen op de daartoe bestemde</w:t>
      </w: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formulieren </w:t>
      </w:r>
    </w:p>
    <w:p w:rsidR="00920494" w:rsidRPr="00C3357F" w:rsidRDefault="00920494" w:rsidP="0092049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ingediend bij het </w:t>
      </w:r>
      <w:r w:rsidR="00225596">
        <w:rPr>
          <w:rFonts w:ascii="Arial" w:hAnsi="Arial" w:cs="Arial"/>
          <w:bCs/>
          <w:iCs/>
          <w:sz w:val="20"/>
          <w:szCs w:val="20"/>
          <w:lang w:val="nl-NL" w:eastAsia="nl-NL"/>
        </w:rPr>
        <w:t>s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>tadsbestuur</w:t>
      </w:r>
      <w:r>
        <w:rPr>
          <w:rFonts w:ascii="Arial" w:hAnsi="Arial" w:cs="Arial"/>
          <w:bCs/>
          <w:iCs/>
          <w:sz w:val="20"/>
          <w:szCs w:val="20"/>
          <w:lang w:val="nl-NL" w:eastAsia="nl-NL"/>
        </w:rPr>
        <w:t>,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p.a. directie Sport, Bad </w:t>
      </w:r>
      <w:proofErr w:type="spellStart"/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>Godesberglaan</w:t>
      </w:r>
      <w:proofErr w:type="spellEnd"/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22 te </w:t>
      </w: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8500 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>Kortrijk.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br/>
        <w:t>Het reglement en de aanvraagformulieren zijn beschikbaar op de directie Sport en de</w:t>
      </w: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website </w:t>
      </w:r>
      <w:hyperlink r:id="rId9" w:history="1">
        <w:r w:rsidRPr="00EE26C6">
          <w:rPr>
            <w:rStyle w:val="Hyperlink"/>
            <w:rFonts w:ascii="Arial" w:hAnsi="Arial" w:cs="Arial"/>
            <w:bCs/>
            <w:iCs/>
            <w:sz w:val="20"/>
            <w:szCs w:val="20"/>
            <w:lang w:val="nl-NL" w:eastAsia="nl-NL"/>
          </w:rPr>
          <w:t>www.kortrijk.be/sport</w:t>
        </w:r>
      </w:hyperlink>
      <w:r>
        <w:rPr>
          <w:rFonts w:ascii="Arial" w:hAnsi="Arial" w:cs="Arial"/>
          <w:bCs/>
          <w:iCs/>
          <w:sz w:val="20"/>
          <w:szCs w:val="20"/>
          <w:lang w:val="nl-NL" w:eastAsia="nl-NL"/>
        </w:rPr>
        <w:t>.</w:t>
      </w:r>
    </w:p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De subsidieaanvraag moet 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>ingediend</w:t>
      </w:r>
      <w:r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worden</w:t>
      </w:r>
      <w:r w:rsidRPr="00BF2CE5">
        <w:rPr>
          <w:rFonts w:ascii="Arial" w:hAnsi="Arial" w:cs="Arial"/>
          <w:bCs/>
          <w:iCs/>
          <w:sz w:val="20"/>
          <w:szCs w:val="20"/>
          <w:lang w:val="nl-NL" w:eastAsia="nl-NL"/>
        </w:rPr>
        <w:t xml:space="preserve"> vóór 31 oktober </w:t>
      </w:r>
      <w:r w:rsidRPr="00BF2CE5">
        <w:rPr>
          <w:rFonts w:ascii="Arial" w:hAnsi="Arial" w:cs="Arial"/>
          <w:sz w:val="20"/>
          <w:szCs w:val="20"/>
        </w:rPr>
        <w:t xml:space="preserve">van het lopende </w:t>
      </w:r>
      <w:r>
        <w:rPr>
          <w:rFonts w:ascii="Arial" w:hAnsi="Arial" w:cs="Arial"/>
          <w:sz w:val="20"/>
          <w:szCs w:val="20"/>
        </w:rPr>
        <w:t>dienstjaar</w:t>
      </w:r>
      <w:r w:rsidRPr="00BF2CE5">
        <w:rPr>
          <w:rFonts w:ascii="Arial" w:hAnsi="Arial" w:cs="Arial"/>
          <w:sz w:val="20"/>
          <w:szCs w:val="20"/>
        </w:rPr>
        <w:t>. Aanvragen na oktober wo</w:t>
      </w:r>
      <w:r>
        <w:rPr>
          <w:rFonts w:ascii="Arial" w:hAnsi="Arial" w:cs="Arial"/>
          <w:sz w:val="20"/>
          <w:szCs w:val="20"/>
        </w:rPr>
        <w:t>rden verrekend en uitbetaald tijdens</w:t>
      </w:r>
      <w:r w:rsidRPr="00BF2CE5">
        <w:rPr>
          <w:rFonts w:ascii="Arial" w:hAnsi="Arial" w:cs="Arial"/>
          <w:sz w:val="20"/>
          <w:szCs w:val="20"/>
        </w:rPr>
        <w:t xml:space="preserve"> het volgende kalenderjaar.</w:t>
      </w:r>
      <w:r w:rsidRPr="00BF2CE5">
        <w:rPr>
          <w:rFonts w:ascii="Arial" w:hAnsi="Arial" w:cs="Arial"/>
          <w:sz w:val="20"/>
          <w:szCs w:val="20"/>
        </w:rPr>
        <w:br/>
        <w:t>De uitbetaling van de subsidie gebeu</w:t>
      </w:r>
      <w:r>
        <w:rPr>
          <w:rFonts w:ascii="Arial" w:hAnsi="Arial" w:cs="Arial"/>
          <w:sz w:val="20"/>
          <w:szCs w:val="20"/>
        </w:rPr>
        <w:t>rt in december van het lopende</w:t>
      </w:r>
      <w:r w:rsidRPr="00BF2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dienst</w:t>
      </w:r>
      <w:r w:rsidRPr="00BF2CE5">
        <w:rPr>
          <w:rFonts w:ascii="Arial" w:hAnsi="Arial" w:cs="Arial"/>
          <w:sz w:val="20"/>
          <w:szCs w:val="20"/>
        </w:rPr>
        <w:t>jaar.</w:t>
      </w:r>
    </w:p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2.3</w:t>
      </w:r>
    </w:p>
    <w:p w:rsidR="00E04F44" w:rsidRDefault="00E04F44" w:rsidP="00920494">
      <w:pPr>
        <w:rPr>
          <w:rFonts w:ascii="Arial" w:hAnsi="Arial" w:cs="Arial"/>
          <w:sz w:val="20"/>
          <w:szCs w:val="20"/>
        </w:rPr>
      </w:pPr>
    </w:p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  <w:r w:rsidRPr="00BF2CE5">
        <w:rPr>
          <w:rFonts w:ascii="Arial" w:hAnsi="Arial" w:cs="Arial"/>
          <w:sz w:val="20"/>
          <w:szCs w:val="20"/>
        </w:rPr>
        <w:t>De aanvra</w:t>
      </w:r>
      <w:r>
        <w:rPr>
          <w:rFonts w:ascii="Arial" w:hAnsi="Arial" w:cs="Arial"/>
          <w:sz w:val="20"/>
          <w:szCs w:val="20"/>
        </w:rPr>
        <w:t xml:space="preserve">ag moet gestaafd zijn met </w:t>
      </w:r>
      <w:r w:rsidRPr="00BF2CE5">
        <w:rPr>
          <w:rFonts w:ascii="Arial" w:hAnsi="Arial" w:cs="Arial"/>
          <w:sz w:val="20"/>
          <w:szCs w:val="20"/>
        </w:rPr>
        <w:t>een kopie van de oprichtingsstatuten</w:t>
      </w:r>
      <w:r>
        <w:rPr>
          <w:rFonts w:ascii="Arial" w:hAnsi="Arial" w:cs="Arial"/>
          <w:sz w:val="20"/>
          <w:szCs w:val="20"/>
        </w:rPr>
        <w:t>, of</w:t>
      </w:r>
      <w:r w:rsidRPr="00BF2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 kopie van de aansluiting bij</w:t>
      </w:r>
      <w:r w:rsidRPr="00BF2CE5">
        <w:rPr>
          <w:rFonts w:ascii="Arial" w:hAnsi="Arial" w:cs="Arial"/>
          <w:sz w:val="20"/>
          <w:szCs w:val="20"/>
        </w:rPr>
        <w:t xml:space="preserve"> de federatie.</w:t>
      </w:r>
    </w:p>
    <w:p w:rsidR="00920494" w:rsidRPr="000733D5" w:rsidRDefault="00920494" w:rsidP="00920494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20"/>
          <w:u w:val="single"/>
          <w:lang w:val="nl-NL"/>
        </w:rPr>
      </w:pPr>
    </w:p>
    <w:p w:rsidR="00920494" w:rsidRPr="00166467" w:rsidRDefault="00920494" w:rsidP="00920494">
      <w:pPr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8D6F83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 w:rsidRPr="008A7C74"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Hoofdstuk </w:t>
      </w: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3</w:t>
      </w:r>
    </w:p>
    <w:p w:rsidR="008D6F83" w:rsidRPr="008A7C74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Berekening van de subsidie voor 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jubilering</w:t>
      </w:r>
      <w:proofErr w:type="spellEnd"/>
    </w:p>
    <w:p w:rsidR="00920494" w:rsidRPr="009F343E" w:rsidRDefault="00920494" w:rsidP="00920494">
      <w:pPr>
        <w:rPr>
          <w:rFonts w:ascii="Tahoma" w:hAnsi="Tahoma" w:cs="Tahoma"/>
          <w:i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3.1</w:t>
      </w:r>
    </w:p>
    <w:p w:rsidR="00E04F44" w:rsidRDefault="00E04F44" w:rsidP="00920494">
      <w:pPr>
        <w:rPr>
          <w:rFonts w:ascii="Arial" w:hAnsi="Arial" w:cs="Arial"/>
          <w:sz w:val="20"/>
          <w:szCs w:val="20"/>
        </w:rPr>
      </w:pPr>
    </w:p>
    <w:p w:rsidR="00920494" w:rsidRDefault="00920494" w:rsidP="00920494">
      <w:pPr>
        <w:rPr>
          <w:rFonts w:ascii="Arial" w:hAnsi="Arial" w:cs="Arial"/>
          <w:sz w:val="20"/>
          <w:szCs w:val="20"/>
        </w:rPr>
      </w:pPr>
      <w:r w:rsidRPr="00BF2CE5">
        <w:rPr>
          <w:rFonts w:ascii="Arial" w:hAnsi="Arial" w:cs="Arial"/>
          <w:sz w:val="20"/>
          <w:szCs w:val="20"/>
        </w:rPr>
        <w:t>De bedragen worden als volgt vastgelegd:</w:t>
      </w:r>
    </w:p>
    <w:p w:rsidR="00920494" w:rsidRDefault="00920494" w:rsidP="0092049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€ 125</w:t>
            </w:r>
          </w:p>
        </w:tc>
      </w:tr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€ 370</w:t>
            </w:r>
          </w:p>
        </w:tc>
      </w:tr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€ 500</w:t>
            </w:r>
          </w:p>
        </w:tc>
      </w:tr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€ 625</w:t>
            </w:r>
          </w:p>
        </w:tc>
      </w:tr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€ 750</w:t>
            </w:r>
          </w:p>
        </w:tc>
      </w:tr>
      <w:tr w:rsidR="00920494" w:rsidTr="00C6587F">
        <w:tc>
          <w:tcPr>
            <w:tcW w:w="4719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 jaar:</w:t>
            </w:r>
          </w:p>
        </w:tc>
        <w:tc>
          <w:tcPr>
            <w:tcW w:w="4720" w:type="dxa"/>
          </w:tcPr>
          <w:p w:rsidR="00920494" w:rsidRDefault="00920494" w:rsidP="00C65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€ 875</w:t>
            </w:r>
          </w:p>
        </w:tc>
      </w:tr>
    </w:tbl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</w:p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  <w:r w:rsidRPr="00BF2CE5">
        <w:rPr>
          <w:rFonts w:ascii="Arial" w:hAnsi="Arial" w:cs="Arial"/>
          <w:sz w:val="20"/>
          <w:szCs w:val="20"/>
        </w:rPr>
        <w:t>Vanaf 15</w:t>
      </w:r>
      <w:r>
        <w:rPr>
          <w:rFonts w:ascii="Arial" w:hAnsi="Arial" w:cs="Arial"/>
          <w:sz w:val="20"/>
          <w:szCs w:val="20"/>
        </w:rPr>
        <w:t>0 jaar wordt per jubileumperiode</w:t>
      </w:r>
      <w:r w:rsidRPr="00BF2CE5">
        <w:rPr>
          <w:rFonts w:ascii="Arial" w:hAnsi="Arial" w:cs="Arial"/>
          <w:sz w:val="20"/>
          <w:szCs w:val="20"/>
        </w:rPr>
        <w:t xml:space="preserve"> (25 jaar) een geplafonneerd bedrag van € 875 uitbetaald.</w:t>
      </w:r>
    </w:p>
    <w:p w:rsidR="00920494" w:rsidRDefault="00920494" w:rsidP="00920494">
      <w:pPr>
        <w:rPr>
          <w:rFonts w:ascii="Tahoma" w:hAnsi="Tahoma" w:cs="Tahoma"/>
          <w:sz w:val="20"/>
          <w:szCs w:val="20"/>
        </w:rPr>
      </w:pPr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920494" w:rsidRPr="00166467" w:rsidRDefault="00920494" w:rsidP="009204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nl-NL"/>
        </w:rPr>
      </w:pPr>
    </w:p>
    <w:p w:rsidR="008D6F83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 w:rsidRPr="008A7C74"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Hoofdstuk </w:t>
      </w: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4</w:t>
      </w:r>
    </w:p>
    <w:p w:rsidR="008D6F83" w:rsidRPr="008A7C74" w:rsidRDefault="008D6F83" w:rsidP="008D6F83">
      <w:pPr>
        <w:keepNext/>
        <w:pBdr>
          <w:top w:val="single" w:sz="4" w:space="1" w:color="auto"/>
          <w:bottom w:val="single" w:sz="4" w:space="1" w:color="auto"/>
        </w:pBdr>
        <w:jc w:val="center"/>
        <w:outlineLvl w:val="1"/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 xml:space="preserve">Uitbetaling van de subsidie voor 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lang w:val="nl-NL" w:eastAsia="nl-NL"/>
        </w:rPr>
        <w:t>jubilering</w:t>
      </w:r>
      <w:proofErr w:type="spellEnd"/>
    </w:p>
    <w:p w:rsidR="00920494" w:rsidRPr="00166467" w:rsidRDefault="00920494" w:rsidP="0092049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nl-NL"/>
        </w:rPr>
      </w:pPr>
      <w:bookmarkStart w:id="0" w:name="_GoBack"/>
      <w:bookmarkEnd w:id="0"/>
    </w:p>
    <w:p w:rsidR="00920494" w:rsidRPr="00166467" w:rsidRDefault="00920494" w:rsidP="00920494">
      <w:pPr>
        <w:rPr>
          <w:rFonts w:ascii="Tahoma" w:hAnsi="Tahoma" w:cs="Tahoma"/>
          <w:sz w:val="20"/>
          <w:szCs w:val="20"/>
        </w:rPr>
      </w:pPr>
    </w:p>
    <w:p w:rsidR="00E04F44" w:rsidRPr="00EB684B" w:rsidRDefault="00E04F44" w:rsidP="00E04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Tahoma" w:hAnsi="Tahoma" w:cs="Tahoma"/>
          <w:b/>
          <w:bCs/>
          <w:iCs/>
          <w:u w:val="single"/>
          <w:lang w:val="nl-NL" w:eastAsia="nl-NL"/>
        </w:rPr>
      </w:pPr>
      <w:r w:rsidRPr="00EB684B">
        <w:rPr>
          <w:rFonts w:ascii="Tahoma" w:hAnsi="Tahoma" w:cs="Tahoma"/>
          <w:b/>
          <w:bCs/>
          <w:iCs/>
          <w:u w:val="single"/>
          <w:lang w:val="nl-NL" w:eastAsia="nl-NL"/>
        </w:rPr>
        <w:t xml:space="preserve">Artikel </w:t>
      </w:r>
      <w:r>
        <w:rPr>
          <w:rFonts w:ascii="Tahoma" w:hAnsi="Tahoma" w:cs="Tahoma"/>
          <w:b/>
          <w:bCs/>
          <w:iCs/>
          <w:u w:val="single"/>
          <w:lang w:val="nl-NL" w:eastAsia="nl-NL"/>
        </w:rPr>
        <w:t>4.1</w:t>
      </w:r>
    </w:p>
    <w:p w:rsidR="00E04F44" w:rsidRDefault="00E04F44" w:rsidP="00920494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920494" w:rsidRPr="00243CBE" w:rsidRDefault="00920494" w:rsidP="00920494">
      <w:pPr>
        <w:autoSpaceDE w:val="0"/>
        <w:autoSpaceDN w:val="0"/>
        <w:adjustRightInd w:val="0"/>
      </w:pPr>
      <w:r>
        <w:rPr>
          <w:rFonts w:ascii="Tahoma" w:hAnsi="Tahoma" w:cs="Tahoma"/>
          <w:bCs/>
          <w:iCs/>
          <w:sz w:val="20"/>
          <w:szCs w:val="20"/>
        </w:rPr>
        <w:t>Het subsidiebedrag wordt uitsluitend op een financiële rekening op naam van de sportvereniging uitbetaald.</w:t>
      </w:r>
    </w:p>
    <w:p w:rsidR="00920494" w:rsidRDefault="00920494" w:rsidP="00920494"/>
    <w:p w:rsidR="00920494" w:rsidRDefault="00920494" w:rsidP="00920494">
      <w:pPr>
        <w:rPr>
          <w:rFonts w:ascii="Arial" w:hAnsi="Arial" w:cs="Arial"/>
          <w:sz w:val="20"/>
          <w:szCs w:val="20"/>
        </w:rPr>
      </w:pPr>
    </w:p>
    <w:p w:rsidR="00920494" w:rsidRPr="00373DD7" w:rsidRDefault="00920494" w:rsidP="00920494">
      <w:pPr>
        <w:rPr>
          <w:rFonts w:ascii="Arial" w:hAnsi="Arial" w:cs="Arial"/>
          <w:sz w:val="20"/>
          <w:szCs w:val="20"/>
        </w:rPr>
      </w:pPr>
    </w:p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</w:p>
    <w:p w:rsidR="00920494" w:rsidRDefault="00920494" w:rsidP="00920494"/>
    <w:p w:rsidR="00920494" w:rsidRPr="00BF2CE5" w:rsidRDefault="00920494" w:rsidP="00920494">
      <w:pPr>
        <w:rPr>
          <w:rFonts w:ascii="Arial" w:hAnsi="Arial" w:cs="Arial"/>
          <w:sz w:val="20"/>
          <w:szCs w:val="20"/>
        </w:rPr>
      </w:pPr>
    </w:p>
    <w:p w:rsidR="00920494" w:rsidRPr="00BF2CE5" w:rsidRDefault="00920494" w:rsidP="00920494">
      <w:pPr>
        <w:rPr>
          <w:rFonts w:ascii="Arial" w:hAnsi="Arial" w:cs="Arial"/>
          <w:b/>
          <w:sz w:val="20"/>
          <w:szCs w:val="20"/>
          <w:u w:val="single"/>
        </w:rPr>
      </w:pPr>
    </w:p>
    <w:sectPr w:rsidR="00920494" w:rsidRPr="00BF2CE5" w:rsidSect="00920494">
      <w:footerReference w:type="default" r:id="rId10"/>
      <w:pgSz w:w="11907" w:h="16840" w:code="9"/>
      <w:pgMar w:top="679" w:right="567" w:bottom="679" w:left="2041" w:header="709" w:footer="85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71" w:rsidRDefault="00E04F44">
      <w:r>
        <w:separator/>
      </w:r>
    </w:p>
  </w:endnote>
  <w:endnote w:type="continuationSeparator" w:id="0">
    <w:p w:rsidR="000A3871" w:rsidRDefault="00E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EE" w:rsidRPr="00D96EF6" w:rsidRDefault="00920494">
    <w:pPr>
      <w:pStyle w:val="Voettekst"/>
      <w:rPr>
        <w:rFonts w:ascii="Arial" w:hAnsi="Arial" w:cs="Arial"/>
        <w:sz w:val="16"/>
        <w:szCs w:val="16"/>
      </w:rPr>
    </w:pPr>
    <w:r w:rsidRPr="00D96EF6">
      <w:rPr>
        <w:rFonts w:ascii="Arial" w:hAnsi="Arial" w:cs="Arial"/>
        <w:sz w:val="16"/>
        <w:szCs w:val="16"/>
      </w:rPr>
      <w:fldChar w:fldCharType="begin"/>
    </w:r>
    <w:r w:rsidRPr="00D96EF6">
      <w:rPr>
        <w:rFonts w:ascii="Arial" w:hAnsi="Arial" w:cs="Arial"/>
        <w:sz w:val="16"/>
        <w:szCs w:val="16"/>
      </w:rPr>
      <w:instrText xml:space="preserve"> FILENAME \p </w:instrText>
    </w:r>
    <w:r w:rsidRPr="00D96EF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G:\_Communicatie\Extern\Reglementen\SUBSIDIEREGLEMENTEN\reglementen\Subsidie jubilering 2009.doc</w:t>
    </w:r>
    <w:r w:rsidRPr="00D96EF6">
      <w:rPr>
        <w:rFonts w:ascii="Arial" w:hAnsi="Arial" w:cs="Arial"/>
        <w:sz w:val="16"/>
        <w:szCs w:val="16"/>
      </w:rPr>
      <w:fldChar w:fldCharType="end"/>
    </w:r>
    <w:r w:rsidRPr="00D96EF6">
      <w:rPr>
        <w:rFonts w:ascii="Arial" w:hAnsi="Arial" w:cs="Arial"/>
        <w:sz w:val="16"/>
        <w:szCs w:val="16"/>
      </w:rPr>
      <w:tab/>
    </w:r>
    <w:r w:rsidRPr="00D96EF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96EF6">
      <w:rPr>
        <w:rFonts w:ascii="Arial" w:hAnsi="Arial" w:cs="Arial"/>
        <w:sz w:val="16"/>
        <w:szCs w:val="16"/>
      </w:rPr>
      <w:fldChar w:fldCharType="begin"/>
    </w:r>
    <w:r w:rsidRPr="00D96EF6">
      <w:rPr>
        <w:rFonts w:ascii="Arial" w:hAnsi="Arial" w:cs="Arial"/>
        <w:sz w:val="16"/>
        <w:szCs w:val="16"/>
      </w:rPr>
      <w:instrText xml:space="preserve"> DATE \@ "dd/MM/yyyy" </w:instrText>
    </w:r>
    <w:r w:rsidRPr="00D96EF6">
      <w:rPr>
        <w:rFonts w:ascii="Arial" w:hAnsi="Arial" w:cs="Arial"/>
        <w:sz w:val="16"/>
        <w:szCs w:val="16"/>
      </w:rPr>
      <w:fldChar w:fldCharType="separate"/>
    </w:r>
    <w:r w:rsidR="008D6F83">
      <w:rPr>
        <w:rFonts w:ascii="Arial" w:hAnsi="Arial" w:cs="Arial"/>
        <w:noProof/>
        <w:sz w:val="16"/>
        <w:szCs w:val="16"/>
      </w:rPr>
      <w:t>07/10/2014</w:t>
    </w:r>
    <w:r w:rsidRPr="00D96E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71" w:rsidRDefault="00E04F44">
      <w:r>
        <w:separator/>
      </w:r>
    </w:p>
  </w:footnote>
  <w:footnote w:type="continuationSeparator" w:id="0">
    <w:p w:rsidR="000A3871" w:rsidRDefault="00E0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17"/>
    <w:multiLevelType w:val="multilevel"/>
    <w:tmpl w:val="0813001D"/>
    <w:styleLink w:val="Stij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4"/>
    <w:rsid w:val="000A3871"/>
    <w:rsid w:val="00225596"/>
    <w:rsid w:val="003C0B8A"/>
    <w:rsid w:val="008D6F83"/>
    <w:rsid w:val="00920494"/>
    <w:rsid w:val="009F343E"/>
    <w:rsid w:val="00C57535"/>
    <w:rsid w:val="00D155F5"/>
    <w:rsid w:val="00E04F44"/>
    <w:rsid w:val="00E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155F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55F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55F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55F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55F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Kop6">
    <w:name w:val="heading 6"/>
    <w:basedOn w:val="Standaard"/>
    <w:next w:val="Standaard"/>
    <w:link w:val="Kop6Char"/>
    <w:unhideWhenUsed/>
    <w:qFormat/>
    <w:rsid w:val="00D155F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55F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55F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55F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uiPriority w:val="99"/>
    <w:rsid w:val="00C57535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D155F5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55F5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55F5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55F5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55F5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55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55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55F5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55F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55F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155F5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55F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55F5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155F5"/>
    <w:rPr>
      <w:b/>
      <w:bCs/>
    </w:rPr>
  </w:style>
  <w:style w:type="character" w:styleId="Nadruk">
    <w:name w:val="Emphasis"/>
    <w:uiPriority w:val="20"/>
    <w:qFormat/>
    <w:rsid w:val="00D155F5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155F5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155F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155F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D155F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55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55F5"/>
    <w:rPr>
      <w:i/>
      <w:iCs/>
    </w:rPr>
  </w:style>
  <w:style w:type="character" w:styleId="Subtielebenadrukking">
    <w:name w:val="Subtle Emphasis"/>
    <w:uiPriority w:val="19"/>
    <w:qFormat/>
    <w:rsid w:val="00D155F5"/>
    <w:rPr>
      <w:i/>
      <w:iCs/>
    </w:rPr>
  </w:style>
  <w:style w:type="character" w:styleId="Intensievebenadrukking">
    <w:name w:val="Intense Emphasis"/>
    <w:uiPriority w:val="21"/>
    <w:qFormat/>
    <w:rsid w:val="00D155F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155F5"/>
    <w:rPr>
      <w:smallCaps/>
    </w:rPr>
  </w:style>
  <w:style w:type="character" w:styleId="Intensieveverwijzing">
    <w:name w:val="Intense Reference"/>
    <w:uiPriority w:val="32"/>
    <w:qFormat/>
    <w:rsid w:val="00D155F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155F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55F5"/>
    <w:pPr>
      <w:outlineLvl w:val="9"/>
    </w:pPr>
    <w:rPr>
      <w:lang w:bidi="en-US"/>
    </w:rPr>
  </w:style>
  <w:style w:type="character" w:styleId="Hyperlink">
    <w:name w:val="Hyperlink"/>
    <w:basedOn w:val="Standaardalinea-lettertype"/>
    <w:rsid w:val="00920494"/>
    <w:rPr>
      <w:color w:val="0000FF"/>
      <w:u w:val="single"/>
    </w:rPr>
  </w:style>
  <w:style w:type="table" w:styleId="Tabelraster">
    <w:name w:val="Table Grid"/>
    <w:basedOn w:val="Standaardtabel"/>
    <w:rsid w:val="0092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9204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20494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4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494"/>
    <w:rPr>
      <w:rFonts w:ascii="Tahoma" w:eastAsia="Times New Roman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155F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55F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55F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55F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55F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Kop6">
    <w:name w:val="heading 6"/>
    <w:basedOn w:val="Standaard"/>
    <w:next w:val="Standaard"/>
    <w:link w:val="Kop6Char"/>
    <w:unhideWhenUsed/>
    <w:qFormat/>
    <w:rsid w:val="00D155F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55F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55F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55F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uiPriority w:val="99"/>
    <w:rsid w:val="00C57535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D155F5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55F5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55F5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55F5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55F5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55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55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55F5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55F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55F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155F5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55F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55F5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155F5"/>
    <w:rPr>
      <w:b/>
      <w:bCs/>
    </w:rPr>
  </w:style>
  <w:style w:type="character" w:styleId="Nadruk">
    <w:name w:val="Emphasis"/>
    <w:uiPriority w:val="20"/>
    <w:qFormat/>
    <w:rsid w:val="00D155F5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155F5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155F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155F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D155F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55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55F5"/>
    <w:rPr>
      <w:i/>
      <w:iCs/>
    </w:rPr>
  </w:style>
  <w:style w:type="character" w:styleId="Subtielebenadrukking">
    <w:name w:val="Subtle Emphasis"/>
    <w:uiPriority w:val="19"/>
    <w:qFormat/>
    <w:rsid w:val="00D155F5"/>
    <w:rPr>
      <w:i/>
      <w:iCs/>
    </w:rPr>
  </w:style>
  <w:style w:type="character" w:styleId="Intensievebenadrukking">
    <w:name w:val="Intense Emphasis"/>
    <w:uiPriority w:val="21"/>
    <w:qFormat/>
    <w:rsid w:val="00D155F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155F5"/>
    <w:rPr>
      <w:smallCaps/>
    </w:rPr>
  </w:style>
  <w:style w:type="character" w:styleId="Intensieveverwijzing">
    <w:name w:val="Intense Reference"/>
    <w:uiPriority w:val="32"/>
    <w:qFormat/>
    <w:rsid w:val="00D155F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155F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55F5"/>
    <w:pPr>
      <w:outlineLvl w:val="9"/>
    </w:pPr>
    <w:rPr>
      <w:lang w:bidi="en-US"/>
    </w:rPr>
  </w:style>
  <w:style w:type="character" w:styleId="Hyperlink">
    <w:name w:val="Hyperlink"/>
    <w:basedOn w:val="Standaardalinea-lettertype"/>
    <w:rsid w:val="00920494"/>
    <w:rPr>
      <w:color w:val="0000FF"/>
      <w:u w:val="single"/>
    </w:rPr>
  </w:style>
  <w:style w:type="table" w:styleId="Tabelraster">
    <w:name w:val="Table Grid"/>
    <w:basedOn w:val="Standaardtabel"/>
    <w:rsid w:val="0092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9204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20494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4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494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rtrijk.be/spor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44B6-A33D-47D0-B479-68D01C3A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Stock</dc:creator>
  <cp:lastModifiedBy>Karoline Stock</cp:lastModifiedBy>
  <cp:revision>5</cp:revision>
  <dcterms:created xsi:type="dcterms:W3CDTF">2014-09-22T13:00:00Z</dcterms:created>
  <dcterms:modified xsi:type="dcterms:W3CDTF">2014-10-07T14:32:00Z</dcterms:modified>
</cp:coreProperties>
</file>