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00" w:rsidRDefault="00B44600" w:rsidP="00B44600">
      <w:pPr>
        <w:jc w:val="center"/>
        <w:rPr>
          <w:b/>
          <w:u w:val="single"/>
        </w:rPr>
      </w:pPr>
      <w:bookmarkStart w:id="0" w:name="_GoBack"/>
      <w:bookmarkEnd w:id="0"/>
      <w:r w:rsidRPr="00B44600">
        <w:rPr>
          <w:b/>
          <w:u w:val="single"/>
        </w:rPr>
        <w:t>Antwoord op vragen inzake GASbemiddeling RC1 – punt 10 en 11</w:t>
      </w:r>
    </w:p>
    <w:p w:rsidR="00B44600" w:rsidRDefault="00B44600" w:rsidP="00B44600"/>
    <w:p w:rsidR="00B44600" w:rsidRPr="00B44600" w:rsidRDefault="00B44600" w:rsidP="00B44600">
      <w:pPr>
        <w:pStyle w:val="Lijstalinea"/>
        <w:numPr>
          <w:ilvl w:val="0"/>
          <w:numId w:val="1"/>
        </w:numPr>
        <w:rPr>
          <w:b/>
          <w:u w:val="single"/>
        </w:rPr>
      </w:pPr>
      <w:r w:rsidRPr="00B44600">
        <w:rPr>
          <w:b/>
          <w:u w:val="single"/>
        </w:rPr>
        <w:t>Verdeling van de bemiddelingsdossiers per gemeente van de voorbije 5 jaar</w:t>
      </w:r>
    </w:p>
    <w:p w:rsidR="00B44600" w:rsidRDefault="00B44600" w:rsidP="00B44600">
      <w:pPr>
        <w:spacing w:after="200" w:line="276" w:lineRule="auto"/>
      </w:pPr>
      <w:r>
        <w:rPr>
          <w:noProof/>
          <w:lang w:eastAsia="nl-BE"/>
        </w:rPr>
        <w:fldChar w:fldCharType="begin"/>
      </w:r>
      <w:r>
        <w:rPr>
          <w:noProof/>
          <w:lang w:eastAsia="nl-BE"/>
        </w:rPr>
        <w:instrText xml:space="preserve"> LINK Excel.Sheet.8 "\\\\s-stad131\\C&amp;R_GAS_Bemiddeling\\Bemiddelingsdossiers\\INVENTARIS bemiddelingsdossiers (nieuwst).xls" "Cijfers 2009-2016!R4K1:R22K10" \a \f 4 \h  \* MERGEFORMAT </w:instrText>
      </w:r>
      <w:r>
        <w:rPr>
          <w:noProof/>
          <w:lang w:eastAsia="nl-BE"/>
        </w:rPr>
        <w:fldChar w:fldCharType="separate"/>
      </w:r>
    </w:p>
    <w:tbl>
      <w:tblPr>
        <w:tblW w:w="9604" w:type="dxa"/>
        <w:tblCellMar>
          <w:left w:w="70" w:type="dxa"/>
          <w:right w:w="70" w:type="dxa"/>
        </w:tblCellMar>
        <w:tblLook w:val="04A0" w:firstRow="1" w:lastRow="0" w:firstColumn="1" w:lastColumn="0" w:noHBand="0" w:noVBand="1"/>
      </w:tblPr>
      <w:tblGrid>
        <w:gridCol w:w="1833"/>
        <w:gridCol w:w="971"/>
        <w:gridCol w:w="761"/>
        <w:gridCol w:w="761"/>
        <w:gridCol w:w="761"/>
        <w:gridCol w:w="761"/>
        <w:gridCol w:w="761"/>
        <w:gridCol w:w="761"/>
        <w:gridCol w:w="761"/>
        <w:gridCol w:w="1473"/>
      </w:tblGrid>
      <w:tr w:rsidR="00B44600" w:rsidRPr="005730AA" w:rsidTr="00794967">
        <w:trPr>
          <w:trHeight w:val="276"/>
        </w:trPr>
        <w:tc>
          <w:tcPr>
            <w:tcW w:w="9604" w:type="dxa"/>
            <w:gridSpan w:val="10"/>
            <w:tcBorders>
              <w:top w:val="single" w:sz="8" w:space="0" w:color="auto"/>
              <w:left w:val="single" w:sz="8" w:space="0" w:color="auto"/>
              <w:bottom w:val="nil"/>
              <w:right w:val="single" w:sz="8" w:space="0" w:color="000000"/>
            </w:tcBorders>
            <w:shd w:val="clear" w:color="auto" w:fill="auto"/>
            <w:noWrap/>
            <w:vAlign w:val="bottom"/>
            <w:hideMark/>
          </w:tcPr>
          <w:p w:rsidR="00B44600" w:rsidRPr="005730AA" w:rsidRDefault="00B44600" w:rsidP="00794967">
            <w:pPr>
              <w:spacing w:after="0" w:line="240" w:lineRule="auto"/>
              <w:jc w:val="center"/>
              <w:rPr>
                <w:rFonts w:ascii="Arial" w:eastAsia="Times New Roman" w:hAnsi="Arial" w:cs="Arial"/>
                <w:sz w:val="20"/>
                <w:szCs w:val="20"/>
                <w:lang w:eastAsia="nl-BE"/>
              </w:rPr>
            </w:pPr>
            <w:r w:rsidRPr="005730AA">
              <w:rPr>
                <w:rFonts w:ascii="Arial" w:eastAsia="Times New Roman" w:hAnsi="Arial" w:cs="Arial"/>
                <w:sz w:val="20"/>
                <w:szCs w:val="20"/>
                <w:lang w:eastAsia="nl-BE"/>
              </w:rPr>
              <w:t>Aantal dossiers per gemeente per jaar</w:t>
            </w:r>
          </w:p>
        </w:tc>
      </w:tr>
      <w:tr w:rsidR="00B44600" w:rsidRPr="005730AA" w:rsidTr="00794967">
        <w:trPr>
          <w:trHeight w:val="276"/>
        </w:trPr>
        <w:tc>
          <w:tcPr>
            <w:tcW w:w="18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Gemeente</w:t>
            </w:r>
          </w:p>
        </w:tc>
        <w:tc>
          <w:tcPr>
            <w:tcW w:w="971" w:type="dxa"/>
            <w:tcBorders>
              <w:top w:val="single" w:sz="8" w:space="0" w:color="auto"/>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2009</w:t>
            </w:r>
          </w:p>
        </w:tc>
        <w:tc>
          <w:tcPr>
            <w:tcW w:w="761" w:type="dxa"/>
            <w:tcBorders>
              <w:top w:val="single" w:sz="8" w:space="0" w:color="auto"/>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2010</w:t>
            </w:r>
          </w:p>
        </w:tc>
        <w:tc>
          <w:tcPr>
            <w:tcW w:w="761" w:type="dxa"/>
            <w:tcBorders>
              <w:top w:val="single" w:sz="8" w:space="0" w:color="auto"/>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2011</w:t>
            </w:r>
          </w:p>
        </w:tc>
        <w:tc>
          <w:tcPr>
            <w:tcW w:w="761" w:type="dxa"/>
            <w:tcBorders>
              <w:top w:val="single" w:sz="8" w:space="0" w:color="auto"/>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2012</w:t>
            </w:r>
          </w:p>
        </w:tc>
        <w:tc>
          <w:tcPr>
            <w:tcW w:w="761" w:type="dxa"/>
            <w:tcBorders>
              <w:top w:val="single" w:sz="8" w:space="0" w:color="auto"/>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2013</w:t>
            </w:r>
          </w:p>
        </w:tc>
        <w:tc>
          <w:tcPr>
            <w:tcW w:w="761" w:type="dxa"/>
            <w:tcBorders>
              <w:top w:val="single" w:sz="8" w:space="0" w:color="auto"/>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2014</w:t>
            </w:r>
          </w:p>
        </w:tc>
        <w:tc>
          <w:tcPr>
            <w:tcW w:w="761" w:type="dxa"/>
            <w:tcBorders>
              <w:top w:val="single" w:sz="8" w:space="0" w:color="auto"/>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2015</w:t>
            </w:r>
          </w:p>
        </w:tc>
        <w:tc>
          <w:tcPr>
            <w:tcW w:w="761" w:type="dxa"/>
            <w:tcBorders>
              <w:top w:val="single" w:sz="8" w:space="0" w:color="auto"/>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2016</w:t>
            </w:r>
          </w:p>
        </w:tc>
        <w:tc>
          <w:tcPr>
            <w:tcW w:w="14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Eindtotaal</w:t>
            </w:r>
          </w:p>
        </w:tc>
      </w:tr>
      <w:tr w:rsidR="00B44600" w:rsidRPr="005730AA" w:rsidTr="00794967">
        <w:trPr>
          <w:trHeight w:val="264"/>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Deerlijk</w:t>
            </w:r>
          </w:p>
        </w:tc>
        <w:tc>
          <w:tcPr>
            <w:tcW w:w="971"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w:t>
            </w:r>
          </w:p>
        </w:tc>
      </w:tr>
      <w:tr w:rsidR="00B44600" w:rsidRPr="005730AA" w:rsidTr="00794967">
        <w:trPr>
          <w:trHeight w:val="264"/>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Dentergem</w:t>
            </w:r>
          </w:p>
        </w:tc>
        <w:tc>
          <w:tcPr>
            <w:tcW w:w="971"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w:t>
            </w:r>
          </w:p>
        </w:tc>
        <w:tc>
          <w:tcPr>
            <w:tcW w:w="761"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w:t>
            </w:r>
          </w:p>
        </w:tc>
      </w:tr>
      <w:tr w:rsidR="00B44600" w:rsidRPr="005730AA" w:rsidTr="00794967">
        <w:trPr>
          <w:trHeight w:val="264"/>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Harelbeke</w:t>
            </w:r>
          </w:p>
        </w:tc>
        <w:tc>
          <w:tcPr>
            <w:tcW w:w="971"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3</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3</w:t>
            </w:r>
          </w:p>
        </w:tc>
        <w:tc>
          <w:tcPr>
            <w:tcW w:w="761"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17</w:t>
            </w:r>
          </w:p>
        </w:tc>
      </w:tr>
      <w:tr w:rsidR="00B44600" w:rsidRPr="005730AA" w:rsidTr="00794967">
        <w:trPr>
          <w:trHeight w:val="264"/>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Hooglede</w:t>
            </w:r>
          </w:p>
        </w:tc>
        <w:tc>
          <w:tcPr>
            <w:tcW w:w="971"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w:t>
            </w:r>
          </w:p>
        </w:tc>
      </w:tr>
      <w:tr w:rsidR="00B44600" w:rsidRPr="005730AA" w:rsidTr="00794967">
        <w:trPr>
          <w:trHeight w:val="264"/>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Ingelmunster</w:t>
            </w:r>
          </w:p>
        </w:tc>
        <w:tc>
          <w:tcPr>
            <w:tcW w:w="971"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9</w:t>
            </w:r>
          </w:p>
        </w:tc>
        <w:tc>
          <w:tcPr>
            <w:tcW w:w="761"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12</w:t>
            </w:r>
          </w:p>
        </w:tc>
      </w:tr>
      <w:tr w:rsidR="00B44600" w:rsidRPr="005730AA" w:rsidTr="00794967">
        <w:trPr>
          <w:trHeight w:val="264"/>
        </w:trPr>
        <w:tc>
          <w:tcPr>
            <w:tcW w:w="1833" w:type="dxa"/>
            <w:tcBorders>
              <w:top w:val="nil"/>
              <w:left w:val="single" w:sz="8" w:space="0" w:color="auto"/>
              <w:bottom w:val="nil"/>
              <w:right w:val="nil"/>
            </w:tcBorders>
            <w:shd w:val="clear" w:color="000000" w:fill="DAEEF3"/>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Izegem</w:t>
            </w:r>
          </w:p>
        </w:tc>
        <w:tc>
          <w:tcPr>
            <w:tcW w:w="971" w:type="dxa"/>
            <w:tcBorders>
              <w:top w:val="nil"/>
              <w:left w:val="single" w:sz="8" w:space="0" w:color="auto"/>
              <w:bottom w:val="nil"/>
              <w:right w:val="nil"/>
            </w:tcBorders>
            <w:shd w:val="clear" w:color="000000" w:fill="DAEEF3"/>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46</w:t>
            </w:r>
          </w:p>
        </w:tc>
        <w:tc>
          <w:tcPr>
            <w:tcW w:w="761" w:type="dxa"/>
            <w:tcBorders>
              <w:top w:val="nil"/>
              <w:left w:val="nil"/>
              <w:bottom w:val="nil"/>
              <w:right w:val="nil"/>
            </w:tcBorders>
            <w:shd w:val="clear" w:color="000000" w:fill="DAEEF3"/>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53</w:t>
            </w:r>
          </w:p>
        </w:tc>
        <w:tc>
          <w:tcPr>
            <w:tcW w:w="761" w:type="dxa"/>
            <w:tcBorders>
              <w:top w:val="nil"/>
              <w:left w:val="nil"/>
              <w:bottom w:val="nil"/>
              <w:right w:val="nil"/>
            </w:tcBorders>
            <w:shd w:val="clear" w:color="000000" w:fill="DAEEF3"/>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11</w:t>
            </w:r>
          </w:p>
        </w:tc>
        <w:tc>
          <w:tcPr>
            <w:tcW w:w="761" w:type="dxa"/>
            <w:tcBorders>
              <w:top w:val="nil"/>
              <w:left w:val="nil"/>
              <w:bottom w:val="nil"/>
              <w:right w:val="nil"/>
            </w:tcBorders>
            <w:shd w:val="clear" w:color="000000" w:fill="DAEEF3"/>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9</w:t>
            </w:r>
          </w:p>
        </w:tc>
        <w:tc>
          <w:tcPr>
            <w:tcW w:w="761" w:type="dxa"/>
            <w:tcBorders>
              <w:top w:val="nil"/>
              <w:left w:val="nil"/>
              <w:bottom w:val="nil"/>
              <w:right w:val="nil"/>
            </w:tcBorders>
            <w:shd w:val="clear" w:color="000000" w:fill="DAEEF3"/>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7</w:t>
            </w:r>
          </w:p>
        </w:tc>
        <w:tc>
          <w:tcPr>
            <w:tcW w:w="761" w:type="dxa"/>
            <w:tcBorders>
              <w:top w:val="nil"/>
              <w:left w:val="nil"/>
              <w:bottom w:val="nil"/>
              <w:right w:val="nil"/>
            </w:tcBorders>
            <w:shd w:val="clear" w:color="000000" w:fill="DAEEF3"/>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3</w:t>
            </w:r>
          </w:p>
        </w:tc>
        <w:tc>
          <w:tcPr>
            <w:tcW w:w="761" w:type="dxa"/>
            <w:tcBorders>
              <w:top w:val="nil"/>
              <w:left w:val="nil"/>
              <w:bottom w:val="nil"/>
              <w:right w:val="nil"/>
            </w:tcBorders>
            <w:shd w:val="clear" w:color="000000" w:fill="DAEEF3"/>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15</w:t>
            </w:r>
          </w:p>
        </w:tc>
        <w:tc>
          <w:tcPr>
            <w:tcW w:w="761" w:type="dxa"/>
            <w:tcBorders>
              <w:top w:val="nil"/>
              <w:left w:val="nil"/>
              <w:bottom w:val="nil"/>
              <w:right w:val="single" w:sz="8" w:space="0" w:color="auto"/>
            </w:tcBorders>
            <w:shd w:val="clear" w:color="000000" w:fill="DAEEF3"/>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9</w:t>
            </w:r>
          </w:p>
        </w:tc>
        <w:tc>
          <w:tcPr>
            <w:tcW w:w="1473" w:type="dxa"/>
            <w:tcBorders>
              <w:top w:val="nil"/>
              <w:left w:val="nil"/>
              <w:bottom w:val="nil"/>
              <w:right w:val="single" w:sz="8" w:space="0" w:color="auto"/>
            </w:tcBorders>
            <w:shd w:val="clear" w:color="000000" w:fill="DAEEF3"/>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153</w:t>
            </w:r>
          </w:p>
        </w:tc>
      </w:tr>
      <w:tr w:rsidR="00B44600" w:rsidRPr="005730AA" w:rsidTr="00794967">
        <w:trPr>
          <w:trHeight w:val="264"/>
        </w:trPr>
        <w:tc>
          <w:tcPr>
            <w:tcW w:w="1833" w:type="dxa"/>
            <w:tcBorders>
              <w:top w:val="nil"/>
              <w:left w:val="single" w:sz="8" w:space="0" w:color="auto"/>
              <w:bottom w:val="nil"/>
              <w:right w:val="nil"/>
            </w:tcBorders>
            <w:shd w:val="clear" w:color="000000" w:fill="92CDDC"/>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Kortrijk</w:t>
            </w:r>
          </w:p>
        </w:tc>
        <w:tc>
          <w:tcPr>
            <w:tcW w:w="971" w:type="dxa"/>
            <w:tcBorders>
              <w:top w:val="nil"/>
              <w:left w:val="single" w:sz="8" w:space="0" w:color="auto"/>
              <w:bottom w:val="nil"/>
              <w:right w:val="nil"/>
            </w:tcBorders>
            <w:shd w:val="clear" w:color="000000" w:fill="92CDDC"/>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13</w:t>
            </w:r>
          </w:p>
        </w:tc>
        <w:tc>
          <w:tcPr>
            <w:tcW w:w="761" w:type="dxa"/>
            <w:tcBorders>
              <w:top w:val="nil"/>
              <w:left w:val="nil"/>
              <w:bottom w:val="nil"/>
              <w:right w:val="nil"/>
            </w:tcBorders>
            <w:shd w:val="clear" w:color="000000" w:fill="92CDDC"/>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43</w:t>
            </w:r>
          </w:p>
        </w:tc>
        <w:tc>
          <w:tcPr>
            <w:tcW w:w="761" w:type="dxa"/>
            <w:tcBorders>
              <w:top w:val="nil"/>
              <w:left w:val="nil"/>
              <w:bottom w:val="nil"/>
              <w:right w:val="nil"/>
            </w:tcBorders>
            <w:shd w:val="clear" w:color="000000" w:fill="92CDDC"/>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56</w:t>
            </w:r>
          </w:p>
        </w:tc>
        <w:tc>
          <w:tcPr>
            <w:tcW w:w="761" w:type="dxa"/>
            <w:tcBorders>
              <w:top w:val="nil"/>
              <w:left w:val="nil"/>
              <w:bottom w:val="nil"/>
              <w:right w:val="nil"/>
            </w:tcBorders>
            <w:shd w:val="clear" w:color="000000" w:fill="92CDDC"/>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41</w:t>
            </w:r>
          </w:p>
        </w:tc>
        <w:tc>
          <w:tcPr>
            <w:tcW w:w="761" w:type="dxa"/>
            <w:tcBorders>
              <w:top w:val="nil"/>
              <w:left w:val="nil"/>
              <w:bottom w:val="nil"/>
              <w:right w:val="nil"/>
            </w:tcBorders>
            <w:shd w:val="clear" w:color="000000" w:fill="92CDDC"/>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59</w:t>
            </w:r>
          </w:p>
        </w:tc>
        <w:tc>
          <w:tcPr>
            <w:tcW w:w="761" w:type="dxa"/>
            <w:tcBorders>
              <w:top w:val="nil"/>
              <w:left w:val="nil"/>
              <w:bottom w:val="nil"/>
              <w:right w:val="nil"/>
            </w:tcBorders>
            <w:shd w:val="clear" w:color="000000" w:fill="92CDDC"/>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51</w:t>
            </w:r>
          </w:p>
        </w:tc>
        <w:tc>
          <w:tcPr>
            <w:tcW w:w="761" w:type="dxa"/>
            <w:tcBorders>
              <w:top w:val="nil"/>
              <w:left w:val="nil"/>
              <w:bottom w:val="nil"/>
              <w:right w:val="nil"/>
            </w:tcBorders>
            <w:shd w:val="clear" w:color="000000" w:fill="92CDDC"/>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37</w:t>
            </w:r>
          </w:p>
        </w:tc>
        <w:tc>
          <w:tcPr>
            <w:tcW w:w="761" w:type="dxa"/>
            <w:tcBorders>
              <w:top w:val="nil"/>
              <w:left w:val="nil"/>
              <w:bottom w:val="nil"/>
              <w:right w:val="single" w:sz="8" w:space="0" w:color="auto"/>
            </w:tcBorders>
            <w:shd w:val="clear" w:color="000000" w:fill="92CDDC"/>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25</w:t>
            </w:r>
          </w:p>
        </w:tc>
        <w:tc>
          <w:tcPr>
            <w:tcW w:w="1473" w:type="dxa"/>
            <w:tcBorders>
              <w:top w:val="nil"/>
              <w:left w:val="nil"/>
              <w:bottom w:val="nil"/>
              <w:right w:val="single" w:sz="8" w:space="0" w:color="auto"/>
            </w:tcBorders>
            <w:shd w:val="clear" w:color="000000" w:fill="92CDDC"/>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325</w:t>
            </w:r>
          </w:p>
        </w:tc>
      </w:tr>
      <w:tr w:rsidR="00B44600" w:rsidRPr="005730AA" w:rsidTr="00794967">
        <w:trPr>
          <w:trHeight w:val="264"/>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Kuurne</w:t>
            </w:r>
          </w:p>
        </w:tc>
        <w:tc>
          <w:tcPr>
            <w:tcW w:w="971"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6</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9</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3</w:t>
            </w:r>
          </w:p>
        </w:tc>
        <w:tc>
          <w:tcPr>
            <w:tcW w:w="761"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33</w:t>
            </w:r>
          </w:p>
        </w:tc>
      </w:tr>
      <w:tr w:rsidR="00B44600" w:rsidRPr="005730AA" w:rsidTr="00794967">
        <w:trPr>
          <w:trHeight w:val="264"/>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Ledegem</w:t>
            </w:r>
          </w:p>
        </w:tc>
        <w:tc>
          <w:tcPr>
            <w:tcW w:w="971"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w:t>
            </w:r>
          </w:p>
        </w:tc>
      </w:tr>
      <w:tr w:rsidR="00B44600" w:rsidRPr="005730AA" w:rsidTr="00794967">
        <w:trPr>
          <w:trHeight w:val="264"/>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Lendelede</w:t>
            </w:r>
          </w:p>
        </w:tc>
        <w:tc>
          <w:tcPr>
            <w:tcW w:w="971"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w:t>
            </w:r>
          </w:p>
        </w:tc>
        <w:tc>
          <w:tcPr>
            <w:tcW w:w="761"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w:t>
            </w:r>
          </w:p>
        </w:tc>
      </w:tr>
      <w:tr w:rsidR="00B44600" w:rsidRPr="005730AA" w:rsidTr="00794967">
        <w:trPr>
          <w:trHeight w:val="264"/>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Menen</w:t>
            </w:r>
          </w:p>
        </w:tc>
        <w:tc>
          <w:tcPr>
            <w:tcW w:w="971"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w:t>
            </w:r>
          </w:p>
        </w:tc>
        <w:tc>
          <w:tcPr>
            <w:tcW w:w="761"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15</w:t>
            </w:r>
          </w:p>
        </w:tc>
      </w:tr>
      <w:tr w:rsidR="00B44600" w:rsidRPr="005730AA" w:rsidTr="00794967">
        <w:trPr>
          <w:trHeight w:val="264"/>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Meulebeke</w:t>
            </w:r>
          </w:p>
        </w:tc>
        <w:tc>
          <w:tcPr>
            <w:tcW w:w="971"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w:t>
            </w:r>
          </w:p>
        </w:tc>
        <w:tc>
          <w:tcPr>
            <w:tcW w:w="761"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w:t>
            </w:r>
          </w:p>
        </w:tc>
      </w:tr>
      <w:tr w:rsidR="00B44600" w:rsidRPr="005730AA" w:rsidTr="00794967">
        <w:trPr>
          <w:trHeight w:val="264"/>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Oostrozebeke</w:t>
            </w:r>
          </w:p>
        </w:tc>
        <w:tc>
          <w:tcPr>
            <w:tcW w:w="971"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10</w:t>
            </w:r>
          </w:p>
        </w:tc>
        <w:tc>
          <w:tcPr>
            <w:tcW w:w="761"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12</w:t>
            </w:r>
          </w:p>
        </w:tc>
      </w:tr>
      <w:tr w:rsidR="00B44600" w:rsidRPr="005730AA" w:rsidTr="00794967">
        <w:trPr>
          <w:trHeight w:val="264"/>
        </w:trPr>
        <w:tc>
          <w:tcPr>
            <w:tcW w:w="1833" w:type="dxa"/>
            <w:tcBorders>
              <w:top w:val="nil"/>
              <w:left w:val="single" w:sz="8" w:space="0" w:color="auto"/>
              <w:bottom w:val="nil"/>
              <w:right w:val="nil"/>
            </w:tcBorders>
            <w:shd w:val="clear" w:color="000000" w:fill="31869B"/>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Roeselare</w:t>
            </w:r>
          </w:p>
        </w:tc>
        <w:tc>
          <w:tcPr>
            <w:tcW w:w="971" w:type="dxa"/>
            <w:tcBorders>
              <w:top w:val="nil"/>
              <w:left w:val="single" w:sz="8" w:space="0" w:color="auto"/>
              <w:bottom w:val="nil"/>
              <w:right w:val="nil"/>
            </w:tcBorders>
            <w:shd w:val="clear" w:color="000000" w:fill="31869B"/>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265</w:t>
            </w:r>
          </w:p>
        </w:tc>
        <w:tc>
          <w:tcPr>
            <w:tcW w:w="761" w:type="dxa"/>
            <w:tcBorders>
              <w:top w:val="nil"/>
              <w:left w:val="nil"/>
              <w:bottom w:val="nil"/>
              <w:right w:val="nil"/>
            </w:tcBorders>
            <w:shd w:val="clear" w:color="000000" w:fill="31869B"/>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274</w:t>
            </w:r>
          </w:p>
        </w:tc>
        <w:tc>
          <w:tcPr>
            <w:tcW w:w="761" w:type="dxa"/>
            <w:tcBorders>
              <w:top w:val="nil"/>
              <w:left w:val="nil"/>
              <w:bottom w:val="nil"/>
              <w:right w:val="nil"/>
            </w:tcBorders>
            <w:shd w:val="clear" w:color="000000" w:fill="31869B"/>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54</w:t>
            </w:r>
          </w:p>
        </w:tc>
        <w:tc>
          <w:tcPr>
            <w:tcW w:w="761" w:type="dxa"/>
            <w:tcBorders>
              <w:top w:val="nil"/>
              <w:left w:val="nil"/>
              <w:bottom w:val="nil"/>
              <w:right w:val="nil"/>
            </w:tcBorders>
            <w:shd w:val="clear" w:color="000000" w:fill="31869B"/>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45</w:t>
            </w:r>
          </w:p>
        </w:tc>
        <w:tc>
          <w:tcPr>
            <w:tcW w:w="761" w:type="dxa"/>
            <w:tcBorders>
              <w:top w:val="nil"/>
              <w:left w:val="nil"/>
              <w:bottom w:val="nil"/>
              <w:right w:val="nil"/>
            </w:tcBorders>
            <w:shd w:val="clear" w:color="000000" w:fill="31869B"/>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52</w:t>
            </w:r>
          </w:p>
        </w:tc>
        <w:tc>
          <w:tcPr>
            <w:tcW w:w="761" w:type="dxa"/>
            <w:tcBorders>
              <w:top w:val="nil"/>
              <w:left w:val="nil"/>
              <w:bottom w:val="nil"/>
              <w:right w:val="nil"/>
            </w:tcBorders>
            <w:shd w:val="clear" w:color="000000" w:fill="31869B"/>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54</w:t>
            </w:r>
          </w:p>
        </w:tc>
        <w:tc>
          <w:tcPr>
            <w:tcW w:w="761" w:type="dxa"/>
            <w:tcBorders>
              <w:top w:val="nil"/>
              <w:left w:val="nil"/>
              <w:bottom w:val="nil"/>
              <w:right w:val="nil"/>
            </w:tcBorders>
            <w:shd w:val="clear" w:color="000000" w:fill="31869B"/>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118</w:t>
            </w:r>
          </w:p>
        </w:tc>
        <w:tc>
          <w:tcPr>
            <w:tcW w:w="761" w:type="dxa"/>
            <w:tcBorders>
              <w:top w:val="nil"/>
              <w:left w:val="nil"/>
              <w:bottom w:val="nil"/>
              <w:right w:val="single" w:sz="8" w:space="0" w:color="auto"/>
            </w:tcBorders>
            <w:shd w:val="clear" w:color="000000" w:fill="31869B"/>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70</w:t>
            </w:r>
          </w:p>
        </w:tc>
        <w:tc>
          <w:tcPr>
            <w:tcW w:w="1473" w:type="dxa"/>
            <w:tcBorders>
              <w:top w:val="nil"/>
              <w:left w:val="nil"/>
              <w:bottom w:val="nil"/>
              <w:right w:val="single" w:sz="8" w:space="0" w:color="auto"/>
            </w:tcBorders>
            <w:shd w:val="clear" w:color="000000" w:fill="31869B"/>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932</w:t>
            </w:r>
          </w:p>
        </w:tc>
      </w:tr>
      <w:tr w:rsidR="00B44600" w:rsidRPr="005730AA" w:rsidTr="00794967">
        <w:trPr>
          <w:trHeight w:val="264"/>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Wevelgem</w:t>
            </w:r>
          </w:p>
        </w:tc>
        <w:tc>
          <w:tcPr>
            <w:tcW w:w="971"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rPr>
                <w:rFonts w:ascii="Times New Roman" w:eastAsia="Times New Roman" w:hAnsi="Times New Roman" w:cs="Times New Roman"/>
                <w:sz w:val="20"/>
                <w:szCs w:val="20"/>
                <w:lang w:eastAsia="nl-BE"/>
              </w:rPr>
            </w:pP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nil"/>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5</w:t>
            </w:r>
          </w:p>
        </w:tc>
        <w:tc>
          <w:tcPr>
            <w:tcW w:w="761"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10</w:t>
            </w:r>
          </w:p>
        </w:tc>
      </w:tr>
      <w:tr w:rsidR="00B44600" w:rsidRPr="005730AA" w:rsidTr="00794967">
        <w:trPr>
          <w:trHeight w:val="276"/>
        </w:trPr>
        <w:tc>
          <w:tcPr>
            <w:tcW w:w="1833" w:type="dxa"/>
            <w:tcBorders>
              <w:top w:val="nil"/>
              <w:left w:val="single" w:sz="8" w:space="0" w:color="auto"/>
              <w:bottom w:val="nil"/>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Wielsbeke</w:t>
            </w:r>
          </w:p>
        </w:tc>
        <w:tc>
          <w:tcPr>
            <w:tcW w:w="971" w:type="dxa"/>
            <w:tcBorders>
              <w:top w:val="nil"/>
              <w:left w:val="single" w:sz="8" w:space="0" w:color="auto"/>
              <w:bottom w:val="single" w:sz="8" w:space="0" w:color="auto"/>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 </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761" w:type="dxa"/>
            <w:tcBorders>
              <w:top w:val="nil"/>
              <w:left w:val="nil"/>
              <w:bottom w:val="single" w:sz="8" w:space="0" w:color="auto"/>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w:t>
            </w:r>
          </w:p>
        </w:tc>
        <w:tc>
          <w:tcPr>
            <w:tcW w:w="1473" w:type="dxa"/>
            <w:tcBorders>
              <w:top w:val="nil"/>
              <w:left w:val="nil"/>
              <w:bottom w:val="nil"/>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4</w:t>
            </w:r>
          </w:p>
        </w:tc>
      </w:tr>
      <w:tr w:rsidR="00B44600" w:rsidRPr="005730AA" w:rsidTr="00794967">
        <w:trPr>
          <w:trHeight w:val="276"/>
        </w:trPr>
        <w:tc>
          <w:tcPr>
            <w:tcW w:w="18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4600" w:rsidRPr="005730AA" w:rsidRDefault="00B44600" w:rsidP="00794967">
            <w:pPr>
              <w:spacing w:after="0" w:line="240" w:lineRule="auto"/>
              <w:rPr>
                <w:rFonts w:ascii="Arial" w:eastAsia="Times New Roman" w:hAnsi="Arial" w:cs="Arial"/>
                <w:sz w:val="20"/>
                <w:szCs w:val="20"/>
                <w:lang w:eastAsia="nl-BE"/>
              </w:rPr>
            </w:pPr>
            <w:r w:rsidRPr="005730AA">
              <w:rPr>
                <w:rFonts w:ascii="Arial" w:eastAsia="Times New Roman" w:hAnsi="Arial" w:cs="Arial"/>
                <w:sz w:val="20"/>
                <w:szCs w:val="20"/>
                <w:lang w:eastAsia="nl-BE"/>
              </w:rPr>
              <w:t>Eindtotaal</w:t>
            </w:r>
          </w:p>
        </w:tc>
        <w:tc>
          <w:tcPr>
            <w:tcW w:w="97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325</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376</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132</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109</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135</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126</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216</w:t>
            </w:r>
          </w:p>
        </w:tc>
        <w:tc>
          <w:tcPr>
            <w:tcW w:w="761" w:type="dxa"/>
            <w:tcBorders>
              <w:top w:val="nil"/>
              <w:left w:val="nil"/>
              <w:bottom w:val="single" w:sz="8" w:space="0" w:color="auto"/>
              <w:right w:val="nil"/>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116</w:t>
            </w:r>
          </w:p>
        </w:tc>
        <w:tc>
          <w:tcPr>
            <w:tcW w:w="14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4600" w:rsidRPr="005730AA" w:rsidRDefault="00B44600" w:rsidP="00794967">
            <w:pPr>
              <w:spacing w:after="0" w:line="240" w:lineRule="auto"/>
              <w:jc w:val="right"/>
              <w:rPr>
                <w:rFonts w:ascii="Arial" w:eastAsia="Times New Roman" w:hAnsi="Arial" w:cs="Arial"/>
                <w:sz w:val="20"/>
                <w:szCs w:val="20"/>
                <w:lang w:eastAsia="nl-BE"/>
              </w:rPr>
            </w:pPr>
            <w:r w:rsidRPr="005730AA">
              <w:rPr>
                <w:rFonts w:ascii="Arial" w:eastAsia="Times New Roman" w:hAnsi="Arial" w:cs="Arial"/>
                <w:sz w:val="20"/>
                <w:szCs w:val="20"/>
                <w:lang w:eastAsia="nl-BE"/>
              </w:rPr>
              <w:t>1535</w:t>
            </w:r>
          </w:p>
        </w:tc>
      </w:tr>
    </w:tbl>
    <w:p w:rsidR="00B44600" w:rsidRPr="00895758" w:rsidRDefault="00B44600" w:rsidP="00B44600">
      <w:pPr>
        <w:rPr>
          <w:sz w:val="18"/>
          <w:szCs w:val="18"/>
        </w:rPr>
      </w:pPr>
      <w:r>
        <w:rPr>
          <w:noProof/>
          <w:lang w:eastAsia="nl-BE"/>
        </w:rPr>
        <w:fldChar w:fldCharType="end"/>
      </w:r>
    </w:p>
    <w:p w:rsidR="00B44600" w:rsidRPr="00B44600" w:rsidRDefault="00B44600" w:rsidP="00B44600">
      <w:pPr>
        <w:ind w:left="360"/>
        <w:rPr>
          <w:sz w:val="18"/>
          <w:szCs w:val="18"/>
        </w:rPr>
      </w:pPr>
      <w:r w:rsidRPr="00B44600">
        <w:rPr>
          <w:sz w:val="18"/>
          <w:szCs w:val="18"/>
        </w:rPr>
        <w:t>Opgelet! Een bemiddelingsjaar loopt telkens van 1 november tem 31 oktober van het daaropvolgende jaar. Dit is dus niet gel</w:t>
      </w:r>
      <w:r>
        <w:rPr>
          <w:sz w:val="18"/>
          <w:szCs w:val="18"/>
        </w:rPr>
        <w:t xml:space="preserve">ijklopend aan een kalenderjaar. </w:t>
      </w:r>
      <w:r w:rsidRPr="00B44600">
        <w:rPr>
          <w:sz w:val="18"/>
          <w:szCs w:val="18"/>
        </w:rPr>
        <w:t>Bovendien zijn de cijfers voor het jaar 2016 nog niet volledig, deze lopen tem september 2016.</w:t>
      </w:r>
    </w:p>
    <w:p w:rsidR="00B44600" w:rsidRDefault="00B44600" w:rsidP="00B44600">
      <w:pPr>
        <w:ind w:left="360"/>
      </w:pPr>
    </w:p>
    <w:p w:rsidR="00B44600" w:rsidRDefault="00B44600" w:rsidP="00B44600">
      <w:pPr>
        <w:ind w:left="360"/>
      </w:pPr>
      <w:r>
        <w:lastRenderedPageBreak/>
        <w:t xml:space="preserve">Kortrijk en Roeselare bezorgen het meest dossiers aan de bemiddelingsambtenaar. Sinds 2011 gaan Roeselare en Kortrijk zowat gelijk op qua dossiers. Voorheen was er een erg groot verschil tussen beide steden omdat aanvankelijk quasi alle GASdossiers van Roeselare aan de bemiddelingsambtenaar bezorgd werden. Vanaf 2015 varieert dit cijfer opnieuw meer tussen beide steden omdat de stad Roeselare alle dossiers van winkeldiefstal, beschadiging en slagen en verwondingen standaard aan de bemiddelaar toezendt, wat in een ferme stijging van het aantal dossiers resulteert. In Kortrijk is dit niet het geval. Opvallend is ook de blijvend dalende trend in de cijfers van Kortrijk. </w:t>
      </w:r>
    </w:p>
    <w:p w:rsidR="00B44600" w:rsidRDefault="00B44600" w:rsidP="00B44600"/>
    <w:p w:rsidR="003E11A7" w:rsidRDefault="003E11A7" w:rsidP="00B44600"/>
    <w:p w:rsidR="003E11A7" w:rsidRDefault="003E11A7" w:rsidP="00B44600"/>
    <w:p w:rsidR="003E11A7" w:rsidRDefault="003E11A7" w:rsidP="00B44600"/>
    <w:p w:rsidR="003E11A7" w:rsidRDefault="003E11A7" w:rsidP="00B44600"/>
    <w:p w:rsidR="003E11A7" w:rsidRDefault="003E11A7" w:rsidP="00B44600"/>
    <w:p w:rsidR="00B44600" w:rsidRDefault="0032278A" w:rsidP="0032278A">
      <w:pPr>
        <w:pStyle w:val="Lijstalinea"/>
        <w:numPr>
          <w:ilvl w:val="0"/>
          <w:numId w:val="1"/>
        </w:numPr>
        <w:rPr>
          <w:b/>
          <w:u w:val="single"/>
        </w:rPr>
      </w:pPr>
      <w:r>
        <w:rPr>
          <w:b/>
          <w:u w:val="single"/>
        </w:rPr>
        <w:t>G</w:t>
      </w:r>
      <w:r w:rsidR="00B44600" w:rsidRPr="0032278A">
        <w:rPr>
          <w:b/>
          <w:u w:val="single"/>
        </w:rPr>
        <w:t>emiddeld aantal dossiers per inwoner van de gemeente</w:t>
      </w:r>
    </w:p>
    <w:p w:rsidR="0032278A" w:rsidRDefault="0032278A" w:rsidP="0032278A">
      <w:pPr>
        <w:rPr>
          <w:b/>
          <w:u w:val="single"/>
        </w:rPr>
      </w:pPr>
    </w:p>
    <w:tbl>
      <w:tblPr>
        <w:tblW w:w="6804" w:type="dxa"/>
        <w:tblInd w:w="-10" w:type="dxa"/>
        <w:tblCellMar>
          <w:left w:w="70" w:type="dxa"/>
          <w:right w:w="70" w:type="dxa"/>
        </w:tblCellMar>
        <w:tblLook w:val="04A0" w:firstRow="1" w:lastRow="0" w:firstColumn="1" w:lastColumn="0" w:noHBand="0" w:noVBand="1"/>
      </w:tblPr>
      <w:tblGrid>
        <w:gridCol w:w="2079"/>
        <w:gridCol w:w="1595"/>
        <w:gridCol w:w="1571"/>
        <w:gridCol w:w="1574"/>
      </w:tblGrid>
      <w:tr w:rsidR="0032278A" w:rsidRPr="0032278A" w:rsidTr="0032278A">
        <w:trPr>
          <w:trHeight w:val="276"/>
        </w:trPr>
        <w:tc>
          <w:tcPr>
            <w:tcW w:w="6804" w:type="dxa"/>
            <w:gridSpan w:val="4"/>
            <w:tcBorders>
              <w:top w:val="single" w:sz="8" w:space="0" w:color="auto"/>
              <w:left w:val="single" w:sz="8" w:space="0" w:color="auto"/>
              <w:bottom w:val="nil"/>
              <w:right w:val="single" w:sz="8" w:space="0" w:color="000000"/>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Aantal bemiddelingsdossiers per inwoner 2015</w:t>
            </w:r>
          </w:p>
        </w:tc>
      </w:tr>
      <w:tr w:rsidR="0032278A" w:rsidRPr="0032278A" w:rsidTr="0032278A">
        <w:trPr>
          <w:trHeight w:val="276"/>
        </w:trPr>
        <w:tc>
          <w:tcPr>
            <w:tcW w:w="207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Gemeente</w:t>
            </w:r>
          </w:p>
        </w:tc>
        <w:tc>
          <w:tcPr>
            <w:tcW w:w="1595" w:type="dxa"/>
            <w:tcBorders>
              <w:top w:val="single" w:sz="8" w:space="0" w:color="auto"/>
              <w:left w:val="nil"/>
              <w:bottom w:val="single" w:sz="8" w:space="0" w:color="auto"/>
              <w:right w:val="single" w:sz="4"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Aantal inwoners</w:t>
            </w:r>
          </w:p>
        </w:tc>
        <w:tc>
          <w:tcPr>
            <w:tcW w:w="1571" w:type="dxa"/>
            <w:tcBorders>
              <w:top w:val="single" w:sz="8" w:space="0" w:color="auto"/>
              <w:left w:val="nil"/>
              <w:bottom w:val="single" w:sz="8" w:space="0" w:color="auto"/>
              <w:right w:val="single" w:sz="4"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Bemiddelingen</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Dossier/inwoner</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Deerlijk</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11.593</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1</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0,0001</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lastRenderedPageBreak/>
              <w:t>Dentergem</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8.340</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4</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0,0005</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Harelbeke</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27.247</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3</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0,0001</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Hooglede</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10.106</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0,0000</w:t>
            </w:r>
          </w:p>
        </w:tc>
      </w:tr>
      <w:tr w:rsidR="0032278A" w:rsidRPr="0032278A" w:rsidTr="0032278A">
        <w:trPr>
          <w:trHeight w:val="288"/>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Ingelmunster</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10.789</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9</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0,0008</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Izegem</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27.365</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15</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0,0005</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Kortrijk</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75.128</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37</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0,0005</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Kuurne</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13.105</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3</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0,0002</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Ledegem</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9.522</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0,0000</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Lendelede</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5.749</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2</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0,0003</w:t>
            </w:r>
          </w:p>
        </w:tc>
      </w:tr>
      <w:tr w:rsidR="0032278A" w:rsidRPr="0032278A" w:rsidTr="0032278A">
        <w:trPr>
          <w:trHeight w:val="288"/>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Menen</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32.964</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4</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0,0001</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Meulebeke</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11.078</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4</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0,0004</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Oostrozebeke</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7.678</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10</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0,0013</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Roeselare</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59.714</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118</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0,0020</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Wevelgem</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31.063</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5</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0,0002</w:t>
            </w:r>
          </w:p>
        </w:tc>
      </w:tr>
      <w:tr w:rsidR="0032278A" w:rsidRPr="0032278A" w:rsidTr="0032278A">
        <w:trPr>
          <w:trHeight w:val="264"/>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Wielsbeke</w:t>
            </w:r>
          </w:p>
        </w:tc>
        <w:tc>
          <w:tcPr>
            <w:tcW w:w="1595"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9.367</w:t>
            </w:r>
          </w:p>
        </w:tc>
        <w:tc>
          <w:tcPr>
            <w:tcW w:w="1571" w:type="dxa"/>
            <w:tcBorders>
              <w:top w:val="nil"/>
              <w:left w:val="nil"/>
              <w:bottom w:val="single" w:sz="4"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1</w:t>
            </w:r>
          </w:p>
        </w:tc>
        <w:tc>
          <w:tcPr>
            <w:tcW w:w="1559" w:type="dxa"/>
            <w:tcBorders>
              <w:top w:val="nil"/>
              <w:left w:val="nil"/>
              <w:bottom w:val="single" w:sz="4"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0,0001</w:t>
            </w:r>
          </w:p>
        </w:tc>
      </w:tr>
      <w:tr w:rsidR="0032278A" w:rsidRPr="0032278A" w:rsidTr="0032278A">
        <w:trPr>
          <w:trHeight w:val="276"/>
        </w:trPr>
        <w:tc>
          <w:tcPr>
            <w:tcW w:w="2079" w:type="dxa"/>
            <w:tcBorders>
              <w:top w:val="nil"/>
              <w:left w:val="single" w:sz="8" w:space="0" w:color="auto"/>
              <w:bottom w:val="single" w:sz="8" w:space="0" w:color="auto"/>
              <w:right w:val="single" w:sz="8" w:space="0" w:color="auto"/>
            </w:tcBorders>
            <w:shd w:val="clear" w:color="auto" w:fill="auto"/>
            <w:noWrap/>
            <w:vAlign w:val="bottom"/>
            <w:hideMark/>
          </w:tcPr>
          <w:p w:rsidR="0032278A" w:rsidRPr="0032278A" w:rsidRDefault="0032278A" w:rsidP="0032278A">
            <w:pPr>
              <w:spacing w:after="0" w:line="240" w:lineRule="auto"/>
              <w:rPr>
                <w:rFonts w:ascii="Arial" w:eastAsia="Times New Roman" w:hAnsi="Arial" w:cs="Arial"/>
                <w:sz w:val="20"/>
                <w:szCs w:val="20"/>
                <w:lang w:eastAsia="nl-BE"/>
              </w:rPr>
            </w:pPr>
            <w:r w:rsidRPr="0032278A">
              <w:rPr>
                <w:rFonts w:ascii="Arial" w:eastAsia="Times New Roman" w:hAnsi="Arial" w:cs="Arial"/>
                <w:sz w:val="20"/>
                <w:szCs w:val="20"/>
                <w:lang w:eastAsia="nl-BE"/>
              </w:rPr>
              <w:t>Eindtotaal</w:t>
            </w:r>
          </w:p>
        </w:tc>
        <w:tc>
          <w:tcPr>
            <w:tcW w:w="1595" w:type="dxa"/>
            <w:tcBorders>
              <w:top w:val="nil"/>
              <w:left w:val="nil"/>
              <w:bottom w:val="single" w:sz="8"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350.808</w:t>
            </w:r>
          </w:p>
        </w:tc>
        <w:tc>
          <w:tcPr>
            <w:tcW w:w="1571" w:type="dxa"/>
            <w:tcBorders>
              <w:top w:val="nil"/>
              <w:left w:val="nil"/>
              <w:bottom w:val="single" w:sz="8" w:space="0" w:color="auto"/>
              <w:right w:val="single" w:sz="4"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216</w:t>
            </w:r>
          </w:p>
        </w:tc>
        <w:tc>
          <w:tcPr>
            <w:tcW w:w="1559" w:type="dxa"/>
            <w:tcBorders>
              <w:top w:val="nil"/>
              <w:left w:val="nil"/>
              <w:bottom w:val="single" w:sz="8" w:space="0" w:color="auto"/>
              <w:right w:val="single" w:sz="8" w:space="0" w:color="auto"/>
            </w:tcBorders>
            <w:shd w:val="clear" w:color="auto" w:fill="auto"/>
            <w:noWrap/>
            <w:vAlign w:val="bottom"/>
            <w:hideMark/>
          </w:tcPr>
          <w:p w:rsidR="0032278A" w:rsidRPr="0032278A" w:rsidRDefault="0032278A" w:rsidP="0032278A">
            <w:pPr>
              <w:spacing w:after="0" w:line="240" w:lineRule="auto"/>
              <w:jc w:val="right"/>
              <w:rPr>
                <w:rFonts w:ascii="Arial" w:eastAsia="Times New Roman" w:hAnsi="Arial" w:cs="Arial"/>
                <w:sz w:val="20"/>
                <w:szCs w:val="20"/>
                <w:lang w:eastAsia="nl-BE"/>
              </w:rPr>
            </w:pPr>
            <w:r w:rsidRPr="0032278A">
              <w:rPr>
                <w:rFonts w:ascii="Arial" w:eastAsia="Times New Roman" w:hAnsi="Arial" w:cs="Arial"/>
                <w:sz w:val="20"/>
                <w:szCs w:val="20"/>
                <w:lang w:eastAsia="nl-BE"/>
              </w:rPr>
              <w:t>0,0006</w:t>
            </w:r>
          </w:p>
        </w:tc>
      </w:tr>
    </w:tbl>
    <w:p w:rsidR="0032278A" w:rsidRDefault="0032278A" w:rsidP="0032278A">
      <w:pPr>
        <w:rPr>
          <w:b/>
          <w:u w:val="single"/>
        </w:rPr>
      </w:pPr>
    </w:p>
    <w:p w:rsidR="0032278A" w:rsidRDefault="003E11A7" w:rsidP="0032278A">
      <w:r>
        <w:t>D</w:t>
      </w:r>
      <w:r w:rsidR="0032278A">
        <w:t>e cijfers van de gemeente</w:t>
      </w:r>
      <w:r w:rsidR="00251BCA">
        <w:t>s</w:t>
      </w:r>
      <w:r w:rsidR="0032278A">
        <w:t xml:space="preserve"> </w:t>
      </w:r>
      <w:r w:rsidR="00251BCA">
        <w:t xml:space="preserve">Ingelmunster en </w:t>
      </w:r>
      <w:r w:rsidR="0032278A">
        <w:t xml:space="preserve">Oostrozebeke komen nogal vertekend over. </w:t>
      </w:r>
      <w:r w:rsidR="00251BCA">
        <w:t>D</w:t>
      </w:r>
      <w:r w:rsidR="00237A86">
        <w:t xml:space="preserve">e gemeenten van MIDOW werken met de sanctionerend ambtenaar </w:t>
      </w:r>
      <w:r w:rsidR="00251BCA">
        <w:t xml:space="preserve">van Roeselare, die </w:t>
      </w:r>
      <w:r w:rsidR="00237A86">
        <w:t>bijna alle dossiers van winkeldiefstal,</w:t>
      </w:r>
      <w:r w:rsidR="00237A86" w:rsidRPr="00237A86">
        <w:t xml:space="preserve"> beschadiging en slagen en verwondingen</w:t>
      </w:r>
      <w:r w:rsidR="00237A86">
        <w:t xml:space="preserve"> doorgeeft aan de bemiddelingsambtenaar. </w:t>
      </w:r>
      <w:r w:rsidR="00251BCA">
        <w:t>In Ingelmunster en Oostrozebeke zijn er de grotere winkels van de gemeenten van PZ MIDOW, wat resulteert in meer dossiers voor winkeldiefstal in deze gemeenten. Opvallend is wel dat er in Oostrozebeke ook veel dossiers zijn voor beschadigingen. Deze zijn procentueel gelijklopend met Roeselare, wat opmerkelijk is aangezien Oostrozebeke eerder een ruraal karakter heeft.</w:t>
      </w:r>
    </w:p>
    <w:p w:rsidR="00251BCA" w:rsidRDefault="00251BCA" w:rsidP="0032278A"/>
    <w:p w:rsidR="00251BCA" w:rsidRDefault="00251BCA" w:rsidP="0032278A"/>
    <w:p w:rsidR="00B44600" w:rsidRDefault="00251BCA" w:rsidP="00251BCA">
      <w:pPr>
        <w:pStyle w:val="Lijstalinea"/>
        <w:numPr>
          <w:ilvl w:val="0"/>
          <w:numId w:val="1"/>
        </w:numPr>
        <w:rPr>
          <w:b/>
          <w:u w:val="single"/>
        </w:rPr>
      </w:pPr>
      <w:r w:rsidRPr="00251BCA">
        <w:rPr>
          <w:b/>
          <w:u w:val="single"/>
        </w:rPr>
        <w:t>I</w:t>
      </w:r>
      <w:r w:rsidR="00B44600" w:rsidRPr="00251BCA">
        <w:rPr>
          <w:b/>
          <w:u w:val="single"/>
        </w:rPr>
        <w:t>s federale toelage voldoende?</w:t>
      </w:r>
    </w:p>
    <w:p w:rsidR="00251BCA" w:rsidRDefault="00251BCA" w:rsidP="00251BCA">
      <w:r>
        <w:t xml:space="preserve">De toelage is niet voldoende om alle gemaakte kosten te dekken. De verrekening van vorig bemiddelingsjaar toont dit aan. Jaar op jaar wordt de totale kost iets duurder, te wijten aan het toenemend aantal gemeenten (meer verplaatsingskosten) en de stijgende anciënniteit van de bemiddelingsambtenaar. </w:t>
      </w:r>
    </w:p>
    <w:p w:rsidR="00251BCA" w:rsidRDefault="00251BCA" w:rsidP="00251BCA"/>
    <w:p w:rsidR="00251BCA" w:rsidRPr="00C07914" w:rsidRDefault="00251BCA" w:rsidP="003E11A7">
      <w:r w:rsidRPr="00C07914">
        <w:t>De stad ontvangt voor de werking van de bemiddelaar een subsidie van 53.600€ vanuit Grootstedenbeleid (onder staatssecretaris Elke Sleurs)</w:t>
      </w:r>
    </w:p>
    <w:p w:rsidR="00251BCA" w:rsidRPr="00C07914" w:rsidRDefault="00251BCA" w:rsidP="00251BCA">
      <w:pPr>
        <w:numPr>
          <w:ilvl w:val="1"/>
          <w:numId w:val="2"/>
        </w:numPr>
        <w:spacing w:after="0" w:line="276" w:lineRule="auto"/>
      </w:pPr>
      <w:r w:rsidRPr="00C07914">
        <w:t>Jaarlijks wordt financieel dossier opgemaakt</w:t>
      </w:r>
    </w:p>
    <w:p w:rsidR="00251BCA" w:rsidRPr="00C07914" w:rsidRDefault="00251BCA" w:rsidP="00251BCA">
      <w:pPr>
        <w:numPr>
          <w:ilvl w:val="1"/>
          <w:numId w:val="2"/>
        </w:numPr>
        <w:spacing w:after="0" w:line="276" w:lineRule="auto"/>
        <w:rPr>
          <w:b/>
          <w:u w:val="single"/>
        </w:rPr>
      </w:pPr>
      <w:r w:rsidRPr="00C07914">
        <w:t>Restbedrag wordt</w:t>
      </w:r>
      <w:r>
        <w:t xml:space="preserve"> doorgerekend aan de deelnemende gemeenten</w:t>
      </w:r>
      <w:r w:rsidR="003E11A7">
        <w:t xml:space="preserve"> pro rata het aantal behandelde dossiers</w:t>
      </w:r>
    </w:p>
    <w:p w:rsidR="00251BCA" w:rsidRPr="00C07914" w:rsidRDefault="00251BCA" w:rsidP="00251BCA">
      <w:pPr>
        <w:spacing w:after="0"/>
        <w:ind w:left="1440"/>
        <w:rPr>
          <w:b/>
          <w:u w:val="single"/>
        </w:rPr>
      </w:pPr>
      <w:r w:rsidRPr="00895758">
        <w:rPr>
          <w:b/>
          <w:u w:val="single"/>
        </w:rPr>
        <w:fldChar w:fldCharType="begin"/>
      </w:r>
      <w:r w:rsidRPr="00C07914">
        <w:rPr>
          <w:b/>
          <w:u w:val="single"/>
        </w:rPr>
        <w:instrText xml:space="preserve"> LINK </w:instrText>
      </w:r>
      <w:r>
        <w:rPr>
          <w:b/>
          <w:u w:val="single"/>
        </w:rPr>
        <w:instrText xml:space="preserve">Excel.Sheet.8 "\\\\s-stad131\\C&amp;R_GAS_Bemiddeling\\Evaluatie\\2014-2015\\151101 INVENTARIS bemiddelingsdossiers (periode 2014-2015).xls" Blad1!R53K1:R67K4 </w:instrText>
      </w:r>
      <w:r w:rsidRPr="00C07914">
        <w:rPr>
          <w:b/>
          <w:u w:val="single"/>
        </w:rPr>
        <w:instrText xml:space="preserve">\a \f 4 \h </w:instrText>
      </w:r>
      <w:r w:rsidRPr="00895758">
        <w:rPr>
          <w:b/>
          <w:u w:val="single"/>
        </w:rPr>
        <w:fldChar w:fldCharType="separate"/>
      </w:r>
    </w:p>
    <w:tbl>
      <w:tblPr>
        <w:tblW w:w="5680" w:type="dxa"/>
        <w:jc w:val="center"/>
        <w:tblCellMar>
          <w:left w:w="70" w:type="dxa"/>
          <w:right w:w="70" w:type="dxa"/>
        </w:tblCellMar>
        <w:tblLook w:val="04A0" w:firstRow="1" w:lastRow="0" w:firstColumn="1" w:lastColumn="0" w:noHBand="0" w:noVBand="1"/>
      </w:tblPr>
      <w:tblGrid>
        <w:gridCol w:w="1993"/>
        <w:gridCol w:w="1681"/>
        <w:gridCol w:w="1003"/>
        <w:gridCol w:w="1003"/>
      </w:tblGrid>
      <w:tr w:rsidR="00251BCA" w:rsidRPr="00895758" w:rsidTr="00794967">
        <w:trPr>
          <w:trHeight w:val="170"/>
          <w:jc w:val="center"/>
        </w:trPr>
        <w:tc>
          <w:tcPr>
            <w:tcW w:w="5680" w:type="dxa"/>
            <w:gridSpan w:val="4"/>
            <w:tcBorders>
              <w:top w:val="single" w:sz="8" w:space="0" w:color="auto"/>
              <w:left w:val="single" w:sz="8" w:space="0" w:color="auto"/>
              <w:bottom w:val="nil"/>
              <w:right w:val="single" w:sz="8" w:space="0" w:color="000000"/>
            </w:tcBorders>
            <w:shd w:val="clear" w:color="000000" w:fill="C5D9F1"/>
            <w:noWrap/>
            <w:vAlign w:val="bottom"/>
            <w:hideMark/>
          </w:tcPr>
          <w:p w:rsidR="00251BCA" w:rsidRPr="00D003F4" w:rsidRDefault="00251BCA" w:rsidP="00794967">
            <w:pPr>
              <w:rPr>
                <w:b/>
              </w:rPr>
            </w:pPr>
            <w:r w:rsidRPr="00D003F4">
              <w:rPr>
                <w:b/>
              </w:rPr>
              <w:t>Verdeling meerkost GASbemiddeling 2014-2015</w:t>
            </w:r>
          </w:p>
        </w:tc>
      </w:tr>
      <w:tr w:rsidR="00251BCA" w:rsidRPr="00895758" w:rsidTr="00794967">
        <w:trPr>
          <w:trHeight w:val="57"/>
          <w:jc w:val="center"/>
        </w:trPr>
        <w:tc>
          <w:tcPr>
            <w:tcW w:w="1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Gemeente</w:t>
            </w:r>
          </w:p>
        </w:tc>
        <w:tc>
          <w:tcPr>
            <w:tcW w:w="1681" w:type="dxa"/>
            <w:tcBorders>
              <w:top w:val="single" w:sz="8" w:space="0" w:color="auto"/>
              <w:left w:val="nil"/>
              <w:bottom w:val="single" w:sz="8"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Aantal doss</w:t>
            </w:r>
          </w:p>
        </w:tc>
        <w:tc>
          <w:tcPr>
            <w:tcW w:w="1003" w:type="dxa"/>
            <w:tcBorders>
              <w:top w:val="single" w:sz="8" w:space="0" w:color="auto"/>
              <w:left w:val="nil"/>
              <w:bottom w:val="single" w:sz="8"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w:t>
            </w:r>
          </w:p>
        </w:tc>
        <w:tc>
          <w:tcPr>
            <w:tcW w:w="1003" w:type="dxa"/>
            <w:tcBorders>
              <w:top w:val="single" w:sz="8" w:space="0" w:color="auto"/>
              <w:left w:val="nil"/>
              <w:bottom w:val="single" w:sz="8"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w:t>
            </w:r>
          </w:p>
        </w:tc>
      </w:tr>
      <w:tr w:rsidR="00251BCA" w:rsidRPr="00895758" w:rsidTr="00794967">
        <w:trPr>
          <w:trHeight w:val="170"/>
          <w:jc w:val="center"/>
        </w:trPr>
        <w:tc>
          <w:tcPr>
            <w:tcW w:w="1993" w:type="dxa"/>
            <w:tcBorders>
              <w:top w:val="nil"/>
              <w:left w:val="single" w:sz="8" w:space="0" w:color="auto"/>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Deerlijk</w:t>
            </w:r>
          </w:p>
        </w:tc>
        <w:tc>
          <w:tcPr>
            <w:tcW w:w="1681"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1</w:t>
            </w:r>
          </w:p>
        </w:tc>
        <w:tc>
          <w:tcPr>
            <w:tcW w:w="1003"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1,37</w:t>
            </w:r>
          </w:p>
        </w:tc>
        <w:tc>
          <w:tcPr>
            <w:tcW w:w="1003" w:type="dxa"/>
            <w:tcBorders>
              <w:top w:val="nil"/>
              <w:left w:val="nil"/>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202,5</w:t>
            </w:r>
          </w:p>
        </w:tc>
      </w:tr>
      <w:tr w:rsidR="00251BCA" w:rsidRPr="00895758" w:rsidTr="00794967">
        <w:trPr>
          <w:trHeight w:val="170"/>
          <w:jc w:val="center"/>
        </w:trPr>
        <w:tc>
          <w:tcPr>
            <w:tcW w:w="1993" w:type="dxa"/>
            <w:tcBorders>
              <w:top w:val="nil"/>
              <w:left w:val="single" w:sz="8" w:space="0" w:color="auto"/>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Harelbeke</w:t>
            </w:r>
          </w:p>
        </w:tc>
        <w:tc>
          <w:tcPr>
            <w:tcW w:w="1681"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2</w:t>
            </w:r>
          </w:p>
        </w:tc>
        <w:tc>
          <w:tcPr>
            <w:tcW w:w="1003"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2,74</w:t>
            </w:r>
          </w:p>
        </w:tc>
        <w:tc>
          <w:tcPr>
            <w:tcW w:w="1003" w:type="dxa"/>
            <w:tcBorders>
              <w:top w:val="nil"/>
              <w:left w:val="nil"/>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405,0</w:t>
            </w:r>
          </w:p>
        </w:tc>
      </w:tr>
      <w:tr w:rsidR="00251BCA" w:rsidRPr="00895758" w:rsidTr="00794967">
        <w:trPr>
          <w:trHeight w:val="170"/>
          <w:jc w:val="center"/>
        </w:trPr>
        <w:tc>
          <w:tcPr>
            <w:tcW w:w="1993" w:type="dxa"/>
            <w:tcBorders>
              <w:top w:val="nil"/>
              <w:left w:val="single" w:sz="8" w:space="0" w:color="auto"/>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Ingelmunster</w:t>
            </w:r>
          </w:p>
        </w:tc>
        <w:tc>
          <w:tcPr>
            <w:tcW w:w="1681"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1</w:t>
            </w:r>
          </w:p>
        </w:tc>
        <w:tc>
          <w:tcPr>
            <w:tcW w:w="1003"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1,37</w:t>
            </w:r>
          </w:p>
        </w:tc>
        <w:tc>
          <w:tcPr>
            <w:tcW w:w="1003" w:type="dxa"/>
            <w:tcBorders>
              <w:top w:val="nil"/>
              <w:left w:val="nil"/>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202,5</w:t>
            </w:r>
          </w:p>
        </w:tc>
      </w:tr>
      <w:tr w:rsidR="00251BCA" w:rsidRPr="00895758" w:rsidTr="00794967">
        <w:trPr>
          <w:trHeight w:val="170"/>
          <w:jc w:val="center"/>
        </w:trPr>
        <w:tc>
          <w:tcPr>
            <w:tcW w:w="1993" w:type="dxa"/>
            <w:tcBorders>
              <w:top w:val="nil"/>
              <w:left w:val="single" w:sz="8" w:space="0" w:color="auto"/>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Izegem</w:t>
            </w:r>
          </w:p>
        </w:tc>
        <w:tc>
          <w:tcPr>
            <w:tcW w:w="1681"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2</w:t>
            </w:r>
          </w:p>
        </w:tc>
        <w:tc>
          <w:tcPr>
            <w:tcW w:w="1003"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2,74</w:t>
            </w:r>
          </w:p>
        </w:tc>
        <w:tc>
          <w:tcPr>
            <w:tcW w:w="1003" w:type="dxa"/>
            <w:tcBorders>
              <w:top w:val="nil"/>
              <w:left w:val="nil"/>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405,0</w:t>
            </w:r>
          </w:p>
        </w:tc>
      </w:tr>
      <w:tr w:rsidR="00251BCA" w:rsidRPr="00895758" w:rsidTr="00794967">
        <w:trPr>
          <w:trHeight w:val="170"/>
          <w:jc w:val="center"/>
        </w:trPr>
        <w:tc>
          <w:tcPr>
            <w:tcW w:w="1993" w:type="dxa"/>
            <w:tcBorders>
              <w:top w:val="nil"/>
              <w:left w:val="single" w:sz="8" w:space="0" w:color="auto"/>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lastRenderedPageBreak/>
              <w:t>Kortrijk</w:t>
            </w:r>
          </w:p>
        </w:tc>
        <w:tc>
          <w:tcPr>
            <w:tcW w:w="1681"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22</w:t>
            </w:r>
          </w:p>
        </w:tc>
        <w:tc>
          <w:tcPr>
            <w:tcW w:w="1003"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30,14</w:t>
            </w:r>
          </w:p>
        </w:tc>
        <w:tc>
          <w:tcPr>
            <w:tcW w:w="1003" w:type="dxa"/>
            <w:tcBorders>
              <w:top w:val="nil"/>
              <w:left w:val="nil"/>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4455,2</w:t>
            </w:r>
          </w:p>
        </w:tc>
      </w:tr>
      <w:tr w:rsidR="00251BCA" w:rsidRPr="00895758" w:rsidTr="00794967">
        <w:trPr>
          <w:trHeight w:val="170"/>
          <w:jc w:val="center"/>
        </w:trPr>
        <w:tc>
          <w:tcPr>
            <w:tcW w:w="1993" w:type="dxa"/>
            <w:tcBorders>
              <w:top w:val="nil"/>
              <w:left w:val="single" w:sz="8" w:space="0" w:color="auto"/>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Kuurne</w:t>
            </w:r>
          </w:p>
        </w:tc>
        <w:tc>
          <w:tcPr>
            <w:tcW w:w="1681"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3</w:t>
            </w:r>
          </w:p>
        </w:tc>
        <w:tc>
          <w:tcPr>
            <w:tcW w:w="1003"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4,11</w:t>
            </w:r>
          </w:p>
        </w:tc>
        <w:tc>
          <w:tcPr>
            <w:tcW w:w="1003" w:type="dxa"/>
            <w:tcBorders>
              <w:top w:val="nil"/>
              <w:left w:val="nil"/>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607,5</w:t>
            </w:r>
          </w:p>
        </w:tc>
      </w:tr>
      <w:tr w:rsidR="00251BCA" w:rsidRPr="00895758" w:rsidTr="00794967">
        <w:trPr>
          <w:trHeight w:val="170"/>
          <w:jc w:val="center"/>
        </w:trPr>
        <w:tc>
          <w:tcPr>
            <w:tcW w:w="1993" w:type="dxa"/>
            <w:tcBorders>
              <w:top w:val="nil"/>
              <w:left w:val="single" w:sz="8" w:space="0" w:color="auto"/>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Lendelede</w:t>
            </w:r>
          </w:p>
        </w:tc>
        <w:tc>
          <w:tcPr>
            <w:tcW w:w="1681"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2</w:t>
            </w:r>
          </w:p>
        </w:tc>
        <w:tc>
          <w:tcPr>
            <w:tcW w:w="1003"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2,74</w:t>
            </w:r>
          </w:p>
        </w:tc>
        <w:tc>
          <w:tcPr>
            <w:tcW w:w="1003" w:type="dxa"/>
            <w:tcBorders>
              <w:top w:val="nil"/>
              <w:left w:val="nil"/>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405,0</w:t>
            </w:r>
          </w:p>
        </w:tc>
      </w:tr>
      <w:tr w:rsidR="00251BCA" w:rsidRPr="00895758" w:rsidTr="00794967">
        <w:trPr>
          <w:trHeight w:val="170"/>
          <w:jc w:val="center"/>
        </w:trPr>
        <w:tc>
          <w:tcPr>
            <w:tcW w:w="1993" w:type="dxa"/>
            <w:tcBorders>
              <w:top w:val="nil"/>
              <w:left w:val="single" w:sz="8" w:space="0" w:color="auto"/>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Menen</w:t>
            </w:r>
          </w:p>
        </w:tc>
        <w:tc>
          <w:tcPr>
            <w:tcW w:w="1681"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4</w:t>
            </w:r>
          </w:p>
        </w:tc>
        <w:tc>
          <w:tcPr>
            <w:tcW w:w="1003"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5,48</w:t>
            </w:r>
          </w:p>
        </w:tc>
        <w:tc>
          <w:tcPr>
            <w:tcW w:w="1003" w:type="dxa"/>
            <w:tcBorders>
              <w:top w:val="nil"/>
              <w:left w:val="nil"/>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810,0</w:t>
            </w:r>
          </w:p>
        </w:tc>
      </w:tr>
      <w:tr w:rsidR="00251BCA" w:rsidRPr="00895758" w:rsidTr="00794967">
        <w:trPr>
          <w:trHeight w:val="170"/>
          <w:jc w:val="center"/>
        </w:trPr>
        <w:tc>
          <w:tcPr>
            <w:tcW w:w="1993" w:type="dxa"/>
            <w:tcBorders>
              <w:top w:val="nil"/>
              <w:left w:val="single" w:sz="8" w:space="0" w:color="auto"/>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Oostrozebeke</w:t>
            </w:r>
          </w:p>
        </w:tc>
        <w:tc>
          <w:tcPr>
            <w:tcW w:w="1681"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2</w:t>
            </w:r>
          </w:p>
        </w:tc>
        <w:tc>
          <w:tcPr>
            <w:tcW w:w="1003"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2,74</w:t>
            </w:r>
          </w:p>
        </w:tc>
        <w:tc>
          <w:tcPr>
            <w:tcW w:w="1003" w:type="dxa"/>
            <w:tcBorders>
              <w:top w:val="nil"/>
              <w:left w:val="nil"/>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405,0</w:t>
            </w:r>
          </w:p>
        </w:tc>
      </w:tr>
      <w:tr w:rsidR="00251BCA" w:rsidRPr="00895758" w:rsidTr="00794967">
        <w:trPr>
          <w:trHeight w:val="170"/>
          <w:jc w:val="center"/>
        </w:trPr>
        <w:tc>
          <w:tcPr>
            <w:tcW w:w="1993" w:type="dxa"/>
            <w:tcBorders>
              <w:top w:val="nil"/>
              <w:left w:val="single" w:sz="8" w:space="0" w:color="auto"/>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Roeselare</w:t>
            </w:r>
          </w:p>
        </w:tc>
        <w:tc>
          <w:tcPr>
            <w:tcW w:w="1681"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30</w:t>
            </w:r>
          </w:p>
        </w:tc>
        <w:tc>
          <w:tcPr>
            <w:tcW w:w="1003"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41,10</w:t>
            </w:r>
          </w:p>
        </w:tc>
        <w:tc>
          <w:tcPr>
            <w:tcW w:w="1003" w:type="dxa"/>
            <w:tcBorders>
              <w:top w:val="nil"/>
              <w:left w:val="nil"/>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6075,2</w:t>
            </w:r>
          </w:p>
        </w:tc>
      </w:tr>
      <w:tr w:rsidR="00251BCA" w:rsidRPr="00895758" w:rsidTr="00794967">
        <w:trPr>
          <w:trHeight w:val="170"/>
          <w:jc w:val="center"/>
        </w:trPr>
        <w:tc>
          <w:tcPr>
            <w:tcW w:w="1993" w:type="dxa"/>
            <w:tcBorders>
              <w:top w:val="nil"/>
              <w:left w:val="single" w:sz="8" w:space="0" w:color="auto"/>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Wevelgem</w:t>
            </w:r>
          </w:p>
        </w:tc>
        <w:tc>
          <w:tcPr>
            <w:tcW w:w="1681"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3</w:t>
            </w:r>
          </w:p>
        </w:tc>
        <w:tc>
          <w:tcPr>
            <w:tcW w:w="1003" w:type="dxa"/>
            <w:tcBorders>
              <w:top w:val="nil"/>
              <w:left w:val="nil"/>
              <w:bottom w:val="single" w:sz="4"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4,11</w:t>
            </w:r>
          </w:p>
        </w:tc>
        <w:tc>
          <w:tcPr>
            <w:tcW w:w="1003" w:type="dxa"/>
            <w:tcBorders>
              <w:top w:val="nil"/>
              <w:left w:val="nil"/>
              <w:bottom w:val="single" w:sz="4"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607,5</w:t>
            </w:r>
          </w:p>
        </w:tc>
      </w:tr>
      <w:tr w:rsidR="00251BCA" w:rsidRPr="00895758" w:rsidTr="00794967">
        <w:trPr>
          <w:trHeight w:val="170"/>
          <w:jc w:val="center"/>
        </w:trPr>
        <w:tc>
          <w:tcPr>
            <w:tcW w:w="1993" w:type="dxa"/>
            <w:tcBorders>
              <w:top w:val="nil"/>
              <w:left w:val="single" w:sz="8" w:space="0" w:color="auto"/>
              <w:bottom w:val="nil"/>
              <w:right w:val="single" w:sz="8" w:space="0" w:color="auto"/>
            </w:tcBorders>
            <w:shd w:val="clear" w:color="auto" w:fill="auto"/>
            <w:noWrap/>
            <w:vAlign w:val="bottom"/>
            <w:hideMark/>
          </w:tcPr>
          <w:p w:rsidR="00251BCA" w:rsidRPr="00D003F4" w:rsidRDefault="00251BCA" w:rsidP="00794967">
            <w:pPr>
              <w:rPr>
                <w:b/>
              </w:rPr>
            </w:pPr>
            <w:r w:rsidRPr="00D003F4">
              <w:rPr>
                <w:b/>
              </w:rPr>
              <w:t>Wielsbeke</w:t>
            </w:r>
          </w:p>
        </w:tc>
        <w:tc>
          <w:tcPr>
            <w:tcW w:w="1681" w:type="dxa"/>
            <w:tcBorders>
              <w:top w:val="nil"/>
              <w:left w:val="nil"/>
              <w:bottom w:val="nil"/>
              <w:right w:val="single" w:sz="4" w:space="0" w:color="auto"/>
            </w:tcBorders>
            <w:shd w:val="clear" w:color="auto" w:fill="auto"/>
            <w:noWrap/>
            <w:vAlign w:val="bottom"/>
            <w:hideMark/>
          </w:tcPr>
          <w:p w:rsidR="00251BCA" w:rsidRPr="00D003F4" w:rsidRDefault="00251BCA" w:rsidP="00794967">
            <w:pPr>
              <w:rPr>
                <w:b/>
              </w:rPr>
            </w:pPr>
            <w:r w:rsidRPr="00D003F4">
              <w:rPr>
                <w:b/>
              </w:rPr>
              <w:t>1</w:t>
            </w:r>
          </w:p>
        </w:tc>
        <w:tc>
          <w:tcPr>
            <w:tcW w:w="1003" w:type="dxa"/>
            <w:tcBorders>
              <w:top w:val="nil"/>
              <w:left w:val="nil"/>
              <w:bottom w:val="nil"/>
              <w:right w:val="single" w:sz="4" w:space="0" w:color="auto"/>
            </w:tcBorders>
            <w:shd w:val="clear" w:color="auto" w:fill="auto"/>
            <w:noWrap/>
            <w:vAlign w:val="bottom"/>
            <w:hideMark/>
          </w:tcPr>
          <w:p w:rsidR="00251BCA" w:rsidRPr="00D003F4" w:rsidRDefault="00251BCA" w:rsidP="00794967">
            <w:pPr>
              <w:rPr>
                <w:b/>
              </w:rPr>
            </w:pPr>
            <w:r w:rsidRPr="00D003F4">
              <w:rPr>
                <w:b/>
              </w:rPr>
              <w:t>1,37</w:t>
            </w:r>
          </w:p>
        </w:tc>
        <w:tc>
          <w:tcPr>
            <w:tcW w:w="1003" w:type="dxa"/>
            <w:tcBorders>
              <w:top w:val="nil"/>
              <w:left w:val="nil"/>
              <w:bottom w:val="nil"/>
              <w:right w:val="single" w:sz="8" w:space="0" w:color="auto"/>
            </w:tcBorders>
            <w:shd w:val="clear" w:color="auto" w:fill="auto"/>
            <w:noWrap/>
            <w:vAlign w:val="bottom"/>
            <w:hideMark/>
          </w:tcPr>
          <w:p w:rsidR="00251BCA" w:rsidRPr="00D003F4" w:rsidRDefault="00251BCA" w:rsidP="00794967">
            <w:pPr>
              <w:rPr>
                <w:b/>
              </w:rPr>
            </w:pPr>
            <w:r w:rsidRPr="00D003F4">
              <w:rPr>
                <w:b/>
              </w:rPr>
              <w:t>202,5</w:t>
            </w:r>
          </w:p>
        </w:tc>
      </w:tr>
      <w:tr w:rsidR="00251BCA" w:rsidRPr="00895758" w:rsidTr="00794967">
        <w:trPr>
          <w:trHeight w:val="170"/>
          <w:jc w:val="center"/>
        </w:trPr>
        <w:tc>
          <w:tcPr>
            <w:tcW w:w="1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Eindtotaal</w:t>
            </w:r>
          </w:p>
        </w:tc>
        <w:tc>
          <w:tcPr>
            <w:tcW w:w="1681" w:type="dxa"/>
            <w:tcBorders>
              <w:top w:val="single" w:sz="8" w:space="0" w:color="auto"/>
              <w:left w:val="nil"/>
              <w:bottom w:val="single" w:sz="8"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73</w:t>
            </w:r>
          </w:p>
        </w:tc>
        <w:tc>
          <w:tcPr>
            <w:tcW w:w="1003" w:type="dxa"/>
            <w:tcBorders>
              <w:top w:val="single" w:sz="8" w:space="0" w:color="auto"/>
              <w:left w:val="nil"/>
              <w:bottom w:val="single" w:sz="8" w:space="0" w:color="auto"/>
              <w:right w:val="single" w:sz="4" w:space="0" w:color="auto"/>
            </w:tcBorders>
            <w:shd w:val="clear" w:color="auto" w:fill="auto"/>
            <w:noWrap/>
            <w:vAlign w:val="bottom"/>
            <w:hideMark/>
          </w:tcPr>
          <w:p w:rsidR="00251BCA" w:rsidRPr="00D003F4" w:rsidRDefault="00251BCA" w:rsidP="00794967">
            <w:pPr>
              <w:rPr>
                <w:b/>
              </w:rPr>
            </w:pPr>
            <w:r w:rsidRPr="00D003F4">
              <w:rPr>
                <w:b/>
              </w:rPr>
              <w:t>100,00</w:t>
            </w:r>
          </w:p>
        </w:tc>
        <w:tc>
          <w:tcPr>
            <w:tcW w:w="1003" w:type="dxa"/>
            <w:tcBorders>
              <w:top w:val="single" w:sz="8" w:space="0" w:color="auto"/>
              <w:left w:val="nil"/>
              <w:bottom w:val="single" w:sz="8" w:space="0" w:color="auto"/>
              <w:right w:val="single" w:sz="8" w:space="0" w:color="auto"/>
            </w:tcBorders>
            <w:shd w:val="clear" w:color="auto" w:fill="auto"/>
            <w:noWrap/>
            <w:vAlign w:val="bottom"/>
            <w:hideMark/>
          </w:tcPr>
          <w:p w:rsidR="00251BCA" w:rsidRPr="00D003F4" w:rsidRDefault="00251BCA" w:rsidP="00794967">
            <w:pPr>
              <w:rPr>
                <w:b/>
              </w:rPr>
            </w:pPr>
            <w:r w:rsidRPr="00D003F4">
              <w:rPr>
                <w:b/>
              </w:rPr>
              <w:t>14.783</w:t>
            </w:r>
          </w:p>
        </w:tc>
      </w:tr>
    </w:tbl>
    <w:p w:rsidR="00251BCA" w:rsidRPr="00251BCA" w:rsidRDefault="00251BCA" w:rsidP="00251BCA">
      <w:r w:rsidRPr="00895758">
        <w:rPr>
          <w:b/>
          <w:u w:val="single"/>
        </w:rPr>
        <w:fldChar w:fldCharType="end"/>
      </w:r>
    </w:p>
    <w:p w:rsidR="00251BCA" w:rsidRPr="00251BCA" w:rsidRDefault="00251BCA" w:rsidP="00251BCA">
      <w:pPr>
        <w:rPr>
          <w:b/>
          <w:u w:val="single"/>
        </w:rPr>
      </w:pPr>
    </w:p>
    <w:p w:rsidR="003E11A7" w:rsidRDefault="00251BCA" w:rsidP="00251BCA">
      <w:pPr>
        <w:pStyle w:val="Lijstalinea"/>
        <w:numPr>
          <w:ilvl w:val="0"/>
          <w:numId w:val="1"/>
        </w:numPr>
        <w:rPr>
          <w:b/>
          <w:u w:val="single"/>
        </w:rPr>
      </w:pPr>
      <w:r w:rsidRPr="00251BCA">
        <w:rPr>
          <w:b/>
          <w:u w:val="single"/>
        </w:rPr>
        <w:t>Deelnemende gemeenten voor de GASbemiddeling.</w:t>
      </w:r>
    </w:p>
    <w:p w:rsidR="00865B1C" w:rsidRDefault="008B5F11" w:rsidP="003E11A7"/>
    <w:p w:rsidR="003E11A7" w:rsidRDefault="003E11A7" w:rsidP="003E11A7">
      <w:r>
        <w:t>De GASbemiddelaar is werkzaam voor  17 van de 21 gemeenten van het voormalige gerechtelijk arrondissement Kortrijk, vanaf 2017 voor 19 van de 21</w:t>
      </w:r>
    </w:p>
    <w:p w:rsidR="003E11A7" w:rsidRDefault="003E11A7" w:rsidP="003E11A7">
      <w:pPr>
        <w:ind w:left="708"/>
      </w:pPr>
      <w:r>
        <w:t>•</w:t>
      </w:r>
      <w:r>
        <w:tab/>
        <w:t>2009  : PZ Vlas en PZ RIHO</w:t>
      </w:r>
    </w:p>
    <w:p w:rsidR="003E11A7" w:rsidRDefault="003E11A7" w:rsidP="003E11A7">
      <w:pPr>
        <w:ind w:left="708"/>
      </w:pPr>
      <w:r>
        <w:t>•</w:t>
      </w:r>
      <w:r>
        <w:tab/>
        <w:t xml:space="preserve">2010: PZ Gavers </w:t>
      </w:r>
    </w:p>
    <w:p w:rsidR="003E11A7" w:rsidRDefault="003E11A7" w:rsidP="003E11A7">
      <w:pPr>
        <w:ind w:left="708"/>
      </w:pPr>
      <w:r>
        <w:t>•</w:t>
      </w:r>
      <w:r>
        <w:tab/>
        <w:t xml:space="preserve">2011: PZ MIDOW </w:t>
      </w:r>
    </w:p>
    <w:p w:rsidR="003E11A7" w:rsidRDefault="003E11A7" w:rsidP="003E11A7">
      <w:pPr>
        <w:ind w:left="708"/>
      </w:pPr>
      <w:r>
        <w:t>•</w:t>
      </w:r>
      <w:r>
        <w:tab/>
        <w:t xml:space="preserve">2012: PZ Grensleie </w:t>
      </w:r>
    </w:p>
    <w:p w:rsidR="003E11A7" w:rsidRDefault="003E11A7" w:rsidP="003E11A7">
      <w:pPr>
        <w:ind w:left="1416" w:hanging="708"/>
      </w:pPr>
      <w:r>
        <w:lastRenderedPageBreak/>
        <w:t>•</w:t>
      </w:r>
      <w:r>
        <w:tab/>
        <w:t>NIEUW sinds 2016: Zwevegem van start en contacten aangegaan met Waregem en Anzegem (die beogen in 2017 te starten).</w:t>
      </w:r>
    </w:p>
    <w:p w:rsidR="003E11A7" w:rsidRPr="003E11A7" w:rsidRDefault="003E11A7" w:rsidP="003E11A7">
      <w:r>
        <w:t>Door de andere gemeentes van de PZ Mira werd nog geen contact opgenomen om de samenwerking aan te gaan.</w:t>
      </w:r>
    </w:p>
    <w:p w:rsidR="003E11A7" w:rsidRPr="003E11A7" w:rsidRDefault="003E11A7"/>
    <w:sectPr w:rsidR="003E11A7" w:rsidRPr="003E11A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A7" w:rsidRDefault="003E11A7" w:rsidP="003E11A7">
      <w:pPr>
        <w:spacing w:after="0" w:line="240" w:lineRule="auto"/>
      </w:pPr>
      <w:r>
        <w:separator/>
      </w:r>
    </w:p>
  </w:endnote>
  <w:endnote w:type="continuationSeparator" w:id="0">
    <w:p w:rsidR="003E11A7" w:rsidRDefault="003E11A7" w:rsidP="003E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194606"/>
      <w:docPartObj>
        <w:docPartGallery w:val="Page Numbers (Bottom of Page)"/>
        <w:docPartUnique/>
      </w:docPartObj>
    </w:sdtPr>
    <w:sdtEndPr/>
    <w:sdtContent>
      <w:p w:rsidR="003E11A7" w:rsidRDefault="003E11A7">
        <w:pPr>
          <w:pStyle w:val="Voettekst"/>
          <w:jc w:val="right"/>
        </w:pPr>
        <w:r>
          <w:fldChar w:fldCharType="begin"/>
        </w:r>
        <w:r>
          <w:instrText>PAGE   \* MERGEFORMAT</w:instrText>
        </w:r>
        <w:r>
          <w:fldChar w:fldCharType="separate"/>
        </w:r>
        <w:r w:rsidR="008B5F11" w:rsidRPr="008B5F11">
          <w:rPr>
            <w:noProof/>
            <w:lang w:val="nl-NL"/>
          </w:rPr>
          <w:t>3</w:t>
        </w:r>
        <w:r>
          <w:fldChar w:fldCharType="end"/>
        </w:r>
      </w:p>
    </w:sdtContent>
  </w:sdt>
  <w:p w:rsidR="003E11A7" w:rsidRDefault="003E11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A7" w:rsidRDefault="003E11A7" w:rsidP="003E11A7">
      <w:pPr>
        <w:spacing w:after="0" w:line="240" w:lineRule="auto"/>
      </w:pPr>
      <w:r>
        <w:separator/>
      </w:r>
    </w:p>
  </w:footnote>
  <w:footnote w:type="continuationSeparator" w:id="0">
    <w:p w:rsidR="003E11A7" w:rsidRDefault="003E11A7" w:rsidP="003E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44EA"/>
    <w:multiLevelType w:val="hybridMultilevel"/>
    <w:tmpl w:val="1A9EA580"/>
    <w:lvl w:ilvl="0" w:tplc="EA0C639A">
      <w:start w:val="1"/>
      <w:numFmt w:val="decimal"/>
      <w:lvlText w:val="%1."/>
      <w:lvlJc w:val="left"/>
      <w:pPr>
        <w:ind w:left="720" w:hanging="360"/>
      </w:pPr>
      <w:rPr>
        <w:rFonts w:asciiTheme="minorHAnsi" w:eastAsiaTheme="minorHAnsi" w:hAnsiTheme="minorHAnsi" w:cstheme="minorBidi"/>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130003">
      <w:start w:val="1"/>
      <w:numFmt w:val="bullet"/>
      <w:lvlText w:val="o"/>
      <w:lvlJc w:val="left"/>
      <w:pPr>
        <w:ind w:left="2880" w:hanging="360"/>
      </w:pPr>
      <w:rPr>
        <w:rFonts w:ascii="Courier New" w:hAnsi="Courier New" w:cs="Courier New"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93F0470"/>
    <w:multiLevelType w:val="hybridMultilevel"/>
    <w:tmpl w:val="9AAE8B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00"/>
    <w:rsid w:val="00237A86"/>
    <w:rsid w:val="00251BCA"/>
    <w:rsid w:val="0032278A"/>
    <w:rsid w:val="003E11A7"/>
    <w:rsid w:val="00700A87"/>
    <w:rsid w:val="008B5F11"/>
    <w:rsid w:val="009D2EFC"/>
    <w:rsid w:val="00B44600"/>
    <w:rsid w:val="00BC53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02BFC-8CA9-4DD7-8FB6-43F77F39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600"/>
    <w:pPr>
      <w:ind w:left="720"/>
      <w:contextualSpacing/>
    </w:pPr>
  </w:style>
  <w:style w:type="paragraph" w:styleId="Koptekst">
    <w:name w:val="header"/>
    <w:basedOn w:val="Standaard"/>
    <w:link w:val="KoptekstChar"/>
    <w:uiPriority w:val="99"/>
    <w:unhideWhenUsed/>
    <w:rsid w:val="003E11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11A7"/>
  </w:style>
  <w:style w:type="paragraph" w:styleId="Voettekst">
    <w:name w:val="footer"/>
    <w:basedOn w:val="Standaard"/>
    <w:link w:val="VoettekstChar"/>
    <w:uiPriority w:val="99"/>
    <w:unhideWhenUsed/>
    <w:rsid w:val="003E11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1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4073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Holderbeke</dc:creator>
  <cp:keywords/>
  <dc:description/>
  <cp:lastModifiedBy>Petra Verhenne</cp:lastModifiedBy>
  <cp:revision>2</cp:revision>
  <dcterms:created xsi:type="dcterms:W3CDTF">2016-11-09T15:15:00Z</dcterms:created>
  <dcterms:modified xsi:type="dcterms:W3CDTF">2016-11-09T15:15:00Z</dcterms:modified>
</cp:coreProperties>
</file>